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66" w:rsidRDefault="001A7466" w:rsidP="001A7466">
      <w:pPr>
        <w:pStyle w:val="PolicyTitle"/>
        <w:tabs>
          <w:tab w:val="left" w:pos="7810"/>
        </w:tabs>
      </w:pPr>
      <w:r>
        <w:t>Graduation:</w:t>
      </w:r>
    </w:p>
    <w:p w:rsidR="001A7466" w:rsidRPr="003859C0" w:rsidRDefault="001A7466" w:rsidP="001A7466">
      <w:pPr>
        <w:pStyle w:val="PolicySubtitle"/>
      </w:pPr>
      <w:r>
        <w:t>Graduation Requirements</w:t>
      </w:r>
    </w:p>
    <w:p w:rsidR="001A7466" w:rsidRPr="003859C0" w:rsidRDefault="001A7466" w:rsidP="001A7466">
      <w:pPr>
        <w:pStyle w:val="PolicySectionHeader"/>
        <w:spacing w:before="0" w:after="120"/>
      </w:pPr>
      <w:r>
        <w:t>Diploma or Certificate of Completion</w:t>
      </w:r>
      <w:r w:rsidRPr="008A556F">
        <w:t>—</w:t>
      </w:r>
    </w:p>
    <w:p w:rsidR="001A7466" w:rsidRPr="0088056A" w:rsidRDefault="001A7466" w:rsidP="001A7466">
      <w:pPr>
        <w:spacing w:before="0" w:after="120"/>
      </w:pPr>
      <w:r>
        <w:tab/>
      </w:r>
      <w:r w:rsidRPr="0088056A">
        <w:t xml:space="preserve">The District will award </w:t>
      </w:r>
      <w:r>
        <w:t xml:space="preserve">a </w:t>
      </w:r>
      <w:r w:rsidRPr="0088056A">
        <w:t xml:space="preserve">diploma </w:t>
      </w:r>
      <w:r>
        <w:t>or</w:t>
      </w:r>
      <w:r w:rsidRPr="0088056A">
        <w:t xml:space="preserve"> certificate of completion to students who complete the requirements as follows:</w:t>
      </w:r>
    </w:p>
    <w:p w:rsidR="001A7466" w:rsidRPr="0088056A" w:rsidRDefault="001A7466" w:rsidP="001A7466">
      <w:pPr>
        <w:pStyle w:val="PolicyListNumerical"/>
        <w:numPr>
          <w:ilvl w:val="0"/>
          <w:numId w:val="1"/>
        </w:numPr>
        <w:spacing w:before="0" w:after="120"/>
      </w:pPr>
      <w:r w:rsidRPr="0088056A">
        <w:t>High School Diploma</w:t>
      </w:r>
    </w:p>
    <w:p w:rsidR="001A7466" w:rsidRPr="0088056A" w:rsidRDefault="001A7466" w:rsidP="00DB6F6A">
      <w:pPr>
        <w:pStyle w:val="PolicyListNumerical"/>
        <w:numPr>
          <w:ilvl w:val="1"/>
          <w:numId w:val="1"/>
        </w:numPr>
        <w:spacing w:before="0" w:after="120"/>
        <w:jc w:val="left"/>
      </w:pPr>
      <w:r w:rsidRPr="0088056A">
        <w:t>Successful completion of the core curriculum and all state course requirements.</w:t>
      </w:r>
    </w:p>
    <w:p w:rsidR="001A7466" w:rsidRPr="0088056A" w:rsidRDefault="001A7466" w:rsidP="00DB6F6A">
      <w:pPr>
        <w:pStyle w:val="PolicyListNumerical"/>
        <w:numPr>
          <w:ilvl w:val="1"/>
          <w:numId w:val="1"/>
        </w:numPr>
        <w:spacing w:before="0" w:after="120"/>
        <w:jc w:val="left"/>
      </w:pPr>
      <w:r w:rsidRPr="0088056A">
        <w:t>Successful completion of ___ credits beyond the core curriculum as required by District policy.</w:t>
      </w:r>
    </w:p>
    <w:p w:rsidR="001A7466" w:rsidRPr="0088056A" w:rsidRDefault="001A7466" w:rsidP="00DB6F6A">
      <w:pPr>
        <w:pStyle w:val="PolicyListNumerical"/>
        <w:numPr>
          <w:ilvl w:val="0"/>
          <w:numId w:val="1"/>
        </w:numPr>
        <w:spacing w:before="0" w:after="120"/>
        <w:jc w:val="left"/>
      </w:pPr>
      <w:r w:rsidRPr="0088056A">
        <w:t>Certificate of Completion</w:t>
      </w:r>
    </w:p>
    <w:p w:rsidR="001A7466" w:rsidRPr="0088056A" w:rsidRDefault="001A7466" w:rsidP="00DB6F6A">
      <w:pPr>
        <w:pStyle w:val="PolicyListNumerical"/>
        <w:numPr>
          <w:ilvl w:val="1"/>
          <w:numId w:val="1"/>
        </w:numPr>
        <w:spacing w:before="0" w:after="120"/>
        <w:jc w:val="left"/>
      </w:pPr>
      <w:r w:rsidRPr="0088056A">
        <w:t>Completion of senior year</w:t>
      </w:r>
      <w:r>
        <w:t>;</w:t>
      </w:r>
    </w:p>
    <w:p w:rsidR="001A7466" w:rsidRDefault="001A7466" w:rsidP="00DB6F6A">
      <w:pPr>
        <w:pStyle w:val="PolicyListNumerical"/>
        <w:numPr>
          <w:ilvl w:val="1"/>
          <w:numId w:val="1"/>
        </w:numPr>
        <w:spacing w:before="0" w:after="120"/>
        <w:jc w:val="left"/>
      </w:pPr>
      <w:r w:rsidRPr="0088056A">
        <w:t>Exiting the school system</w:t>
      </w:r>
      <w:r>
        <w:t>; and</w:t>
      </w:r>
    </w:p>
    <w:p w:rsidR="001A7466" w:rsidRPr="0088056A" w:rsidRDefault="001A7466" w:rsidP="00DB6F6A">
      <w:pPr>
        <w:pStyle w:val="PolicyListNumerical"/>
        <w:numPr>
          <w:ilvl w:val="1"/>
          <w:numId w:val="1"/>
        </w:numPr>
        <w:spacing w:before="0" w:after="120"/>
        <w:jc w:val="left"/>
      </w:pPr>
      <w:r w:rsidRPr="004E017A">
        <w:fldChar w:fldCharType="begin"/>
      </w:r>
      <w:r w:rsidRPr="004E017A">
        <w:instrText xml:space="preserve"> SEQ CHAPTER \h \r 1</w:instrText>
      </w:r>
      <w:r w:rsidRPr="004E017A">
        <w:fldChar w:fldCharType="end"/>
      </w:r>
      <w:r>
        <w:t>Have not met all state or District requirements for a diploma</w:t>
      </w:r>
    </w:p>
    <w:p w:rsidR="001A7466" w:rsidRPr="00A24EA3" w:rsidRDefault="00A24EA3" w:rsidP="001A7466">
      <w:pPr>
        <w:pStyle w:val="PolicyCitation"/>
        <w:spacing w:after="120"/>
        <w:rPr>
          <w:rStyle w:val="Hyperlink"/>
        </w:rPr>
      </w:pPr>
      <w:r>
        <w:fldChar w:fldCharType="begin"/>
      </w:r>
      <w:r>
        <w:instrText xml:space="preserve"> HYPERLINK "http://www.rules.utah.gov/publicat/code/r277/r277-705.htm" \l "T4" </w:instrText>
      </w:r>
      <w:r>
        <w:fldChar w:fldCharType="separate"/>
      </w:r>
      <w:proofErr w:type="gramStart"/>
      <w:r w:rsidR="001A7466" w:rsidRPr="00A24EA3">
        <w:rPr>
          <w:rStyle w:val="Hyperlink"/>
        </w:rPr>
        <w:t>Utah Admin.</w:t>
      </w:r>
      <w:proofErr w:type="gramEnd"/>
      <w:r w:rsidR="001A7466" w:rsidRPr="00A24EA3">
        <w:rPr>
          <w:rStyle w:val="Hyperlink"/>
        </w:rPr>
        <w:t xml:space="preserve"> Rules R277-705-4 (November 7, 2013)</w:t>
      </w:r>
    </w:p>
    <w:p w:rsidR="001A7466" w:rsidRPr="0088056A" w:rsidRDefault="00A24EA3" w:rsidP="001A7466">
      <w:pPr>
        <w:spacing w:before="0" w:after="120"/>
      </w:pPr>
      <w:r>
        <w:rPr>
          <w:i/>
          <w:sz w:val="20"/>
          <w:szCs w:val="16"/>
        </w:rPr>
        <w:fldChar w:fldCharType="end"/>
      </w:r>
      <w:r w:rsidR="001A7466" w:rsidRPr="0088056A">
        <w:t>Adult education students will be awarded diplomas as set forth in Policy EHE.</w:t>
      </w:r>
    </w:p>
    <w:p w:rsidR="001A7466" w:rsidRPr="0088056A" w:rsidRDefault="001A7466" w:rsidP="001A7466">
      <w:pPr>
        <w:pStyle w:val="PolicySectionHeader"/>
        <w:spacing w:before="0" w:after="120"/>
      </w:pPr>
      <w:r w:rsidRPr="0088056A">
        <w:t>Special Education Students</w:t>
      </w:r>
      <w:r w:rsidRPr="008A556F">
        <w:t>—</w:t>
      </w:r>
    </w:p>
    <w:p w:rsidR="001A7466" w:rsidRPr="0088056A" w:rsidRDefault="001A7466" w:rsidP="001A7466">
      <w:pPr>
        <w:spacing w:before="0" w:after="120"/>
      </w:pPr>
      <w:r>
        <w:tab/>
      </w:r>
      <w:r w:rsidRPr="0088056A">
        <w:t>Special education students shall satisfy high school completion or graduation criteria, consistent with state and federal law and the student’s IEP.  Such students may be awarded a certificate of completion or a diploma as set forth above, consistent with state and federal law and the student’s IEP or Section 504 plan.</w:t>
      </w:r>
    </w:p>
    <w:p w:rsidR="001A7466" w:rsidRPr="0088056A" w:rsidRDefault="00DB6F6A" w:rsidP="001A7466">
      <w:pPr>
        <w:pStyle w:val="PolicyCitation"/>
        <w:spacing w:after="120"/>
      </w:pPr>
      <w:hyperlink r:id="rId8" w:anchor="T5" w:history="1">
        <w:proofErr w:type="gramStart"/>
        <w:r w:rsidR="001A7466" w:rsidRPr="00A24EA3">
          <w:rPr>
            <w:rStyle w:val="Hyperlink"/>
          </w:rPr>
          <w:t>Utah Admin.</w:t>
        </w:r>
        <w:proofErr w:type="gramEnd"/>
        <w:r w:rsidR="001A7466" w:rsidRPr="00A24EA3">
          <w:rPr>
            <w:rStyle w:val="Hyperlink"/>
          </w:rPr>
          <w:t xml:space="preserve"> Rules R277-705-5 (November 7, 2013)</w:t>
        </w:r>
      </w:hyperlink>
    </w:p>
    <w:p w:rsidR="001A7466" w:rsidRPr="0088056A" w:rsidRDefault="001A7466" w:rsidP="001A7466">
      <w:pPr>
        <w:pStyle w:val="PolicySectionHeader"/>
        <w:spacing w:before="0" w:after="120"/>
      </w:pPr>
      <w:r w:rsidRPr="0088056A">
        <w:t>Methods of Obtaining Credit</w:t>
      </w:r>
      <w:r w:rsidRPr="008A556F">
        <w:t>—</w:t>
      </w:r>
    </w:p>
    <w:p w:rsidR="001A7466" w:rsidRPr="0088056A" w:rsidRDefault="001A7466" w:rsidP="001A7466">
      <w:pPr>
        <w:spacing w:before="0" w:after="120"/>
      </w:pPr>
      <w:r>
        <w:tab/>
      </w:r>
      <w:r w:rsidRPr="0088056A">
        <w:t>Credits towards graduation may be obtained and recorded on the student’s transcript by the following methods:</w:t>
      </w:r>
    </w:p>
    <w:p w:rsidR="001A7466" w:rsidRPr="0088056A" w:rsidRDefault="001A7466" w:rsidP="00DB6F6A">
      <w:pPr>
        <w:pStyle w:val="PolicyListNumerical"/>
        <w:numPr>
          <w:ilvl w:val="0"/>
          <w:numId w:val="2"/>
        </w:numPr>
        <w:spacing w:before="0" w:after="120"/>
        <w:jc w:val="left"/>
      </w:pPr>
      <w:r w:rsidRPr="0088056A">
        <w:t>Successful completion of courses in the high schools of the District.</w:t>
      </w:r>
    </w:p>
    <w:p w:rsidR="001A7466" w:rsidRDefault="001A7466" w:rsidP="00DB6F6A">
      <w:pPr>
        <w:pStyle w:val="PolicyListNumerical"/>
        <w:numPr>
          <w:ilvl w:val="0"/>
          <w:numId w:val="1"/>
        </w:numPr>
        <w:spacing w:before="0" w:after="120"/>
        <w:jc w:val="left"/>
      </w:pPr>
      <w:r w:rsidRPr="0088056A">
        <w:t>Successful completion of concurrent-enrollment college courses.</w:t>
      </w:r>
    </w:p>
    <w:p w:rsidR="001A7466" w:rsidRPr="0088056A" w:rsidRDefault="001A7466" w:rsidP="00DB6F6A">
      <w:pPr>
        <w:pStyle w:val="PolicyListNumerical"/>
        <w:numPr>
          <w:ilvl w:val="0"/>
          <w:numId w:val="1"/>
        </w:numPr>
        <w:spacing w:before="0" w:after="120"/>
        <w:jc w:val="left"/>
      </w:pPr>
      <w:r>
        <w:t>Satisfaction of coursework by d</w:t>
      </w:r>
      <w:r w:rsidRPr="0088056A">
        <w:t>emonstrated competency under policies established by the District following appropriate review.</w:t>
      </w:r>
    </w:p>
    <w:p w:rsidR="001A7466" w:rsidRPr="0088056A" w:rsidRDefault="001A7466" w:rsidP="00DB6F6A">
      <w:pPr>
        <w:pStyle w:val="PolicyListNumerical"/>
        <w:numPr>
          <w:ilvl w:val="0"/>
          <w:numId w:val="1"/>
        </w:numPr>
        <w:spacing w:before="0" w:after="120"/>
        <w:jc w:val="left"/>
      </w:pPr>
      <w:r w:rsidRPr="0088056A">
        <w:t>Successful completion of assessment tests in particular subject areas, as established by District policy.</w:t>
      </w:r>
    </w:p>
    <w:p w:rsidR="001A7466" w:rsidRPr="0088056A" w:rsidRDefault="001A7466" w:rsidP="00DB6F6A">
      <w:pPr>
        <w:pStyle w:val="PolicyListNumerical"/>
        <w:numPr>
          <w:ilvl w:val="0"/>
          <w:numId w:val="1"/>
        </w:numPr>
        <w:spacing w:before="0" w:after="120"/>
        <w:jc w:val="left"/>
      </w:pPr>
      <w:r w:rsidRPr="0088056A">
        <w:t>Evaluation of student work or projects consistent with District or school procedures and criteria.</w:t>
      </w:r>
    </w:p>
    <w:p w:rsidR="001A7466" w:rsidRPr="0088056A" w:rsidRDefault="001A7466" w:rsidP="00DB6F6A">
      <w:pPr>
        <w:pStyle w:val="PolicyListNumerical"/>
        <w:numPr>
          <w:ilvl w:val="0"/>
          <w:numId w:val="1"/>
        </w:numPr>
        <w:spacing w:before="0" w:after="120"/>
        <w:jc w:val="left"/>
      </w:pPr>
      <w:r w:rsidRPr="0088056A">
        <w:lastRenderedPageBreak/>
        <w:t>Successful completion, as determined by the District or school, of correspondence or electronic coursework offered by accredited educational institutions with prior approval by the District or school to the extent practicable.</w:t>
      </w:r>
    </w:p>
    <w:p w:rsidR="001A7466" w:rsidRPr="0088056A" w:rsidRDefault="001A7466" w:rsidP="00DB6F6A">
      <w:pPr>
        <w:pStyle w:val="PolicyListNumerical"/>
        <w:numPr>
          <w:ilvl w:val="0"/>
          <w:numId w:val="1"/>
        </w:numPr>
        <w:spacing w:before="0" w:after="120"/>
        <w:jc w:val="left"/>
      </w:pPr>
      <w:r w:rsidRPr="0088056A">
        <w:t xml:space="preserve">Transfer credits for successfully completed courses from the </w:t>
      </w:r>
      <w:smartTag w:uri="urn:schemas-microsoft-com:office:smarttags" w:element="place">
        <w:smartTag w:uri="urn:schemas-microsoft-com:office:smarttags" w:element="PlaceName">
          <w:r w:rsidRPr="0088056A">
            <w:t>Utah</w:t>
          </w:r>
        </w:smartTag>
        <w:r w:rsidRPr="0088056A">
          <w:t xml:space="preserve"> </w:t>
        </w:r>
        <w:smartTag w:uri="urn:schemas-microsoft-com:office:smarttags" w:element="PlaceName">
          <w:r w:rsidRPr="0088056A">
            <w:t>Electronic</w:t>
          </w:r>
        </w:smartTag>
        <w:r w:rsidRPr="0088056A">
          <w:t xml:space="preserve"> </w:t>
        </w:r>
        <w:smartTag w:uri="urn:schemas-microsoft-com:office:smarttags" w:element="PlaceType">
          <w:r w:rsidRPr="0088056A">
            <w:t>High School</w:t>
          </w:r>
        </w:smartTag>
      </w:smartTag>
      <w:r w:rsidRPr="0088056A">
        <w:t xml:space="preserve"> and from any school accredited by the State Board of Education or by the Northwest Association of Accredited Schools, which credits shall be accepted as issued by the school, without alteration.</w:t>
      </w:r>
    </w:p>
    <w:p w:rsidR="001A7466" w:rsidRPr="00110F23" w:rsidRDefault="001A7466" w:rsidP="001A7466">
      <w:pPr>
        <w:spacing w:before="0" w:after="120"/>
        <w:rPr>
          <w:rStyle w:val="SubtleEmphasis"/>
        </w:rPr>
      </w:pPr>
      <w:r w:rsidRPr="0088056A" w:rsidDel="0090101A">
        <w:t xml:space="preserve"> </w:t>
      </w:r>
      <w:r w:rsidRPr="00110F23">
        <w:rPr>
          <w:rStyle w:val="SubtleEmphasis"/>
        </w:rPr>
        <w:t>[Note:  The District may select from among the options above and need not adopt all of the listed options, except that the District is required by law to accept transfer credits from the Utah Electronic High School and from schools accredited by the State Board or the Northwest Association.]</w:t>
      </w:r>
    </w:p>
    <w:p w:rsidR="001A7466" w:rsidRPr="0088056A" w:rsidRDefault="00DB6F6A" w:rsidP="001A7466">
      <w:pPr>
        <w:pStyle w:val="PolicyCitation"/>
      </w:pPr>
      <w:hyperlink r:id="rId9" w:anchor="T3" w:history="1">
        <w:proofErr w:type="gramStart"/>
        <w:r w:rsidR="001A7466" w:rsidRPr="00A24EA3">
          <w:rPr>
            <w:rStyle w:val="Hyperlink"/>
          </w:rPr>
          <w:t>Utah Admin.</w:t>
        </w:r>
        <w:proofErr w:type="gramEnd"/>
        <w:r w:rsidR="001A7466" w:rsidRPr="00A24EA3">
          <w:rPr>
            <w:rStyle w:val="Hyperlink"/>
          </w:rPr>
          <w:t xml:space="preserve"> Rules R277-705-3 (November 7, 2013)</w:t>
        </w:r>
      </w:hyperlink>
    </w:p>
    <w:p w:rsidR="001A7466" w:rsidRPr="0088056A" w:rsidRDefault="000562D2" w:rsidP="001A7466">
      <w:pPr>
        <w:pStyle w:val="PolicyCitation"/>
      </w:pPr>
      <w:hyperlink r:id="rId10" w:history="1">
        <w:r w:rsidR="00DB6F6A">
          <w:rPr>
            <w:rStyle w:val="Hyperlink"/>
          </w:rPr>
          <w:t xml:space="preserve">Utah Code </w:t>
        </w:r>
        <w:r w:rsidR="001A7466" w:rsidRPr="00A24EA3">
          <w:rPr>
            <w:rStyle w:val="Hyperlink"/>
          </w:rPr>
          <w:t>§ 53A-13-108.5 (20</w:t>
        </w:r>
        <w:r>
          <w:rPr>
            <w:rStyle w:val="Hyperlink"/>
          </w:rPr>
          <w:t>15</w:t>
        </w:r>
        <w:r w:rsidR="001A7466" w:rsidRPr="00A24EA3">
          <w:rPr>
            <w:rStyle w:val="Hyperlink"/>
          </w:rPr>
          <w:t>)</w:t>
        </w:r>
      </w:hyperlink>
    </w:p>
    <w:p w:rsidR="001A7466" w:rsidRPr="0088056A" w:rsidRDefault="000562D2" w:rsidP="001A7466">
      <w:pPr>
        <w:pStyle w:val="PolicyCitation"/>
        <w:spacing w:after="120"/>
      </w:pPr>
      <w:hyperlink r:id="rId11" w:history="1">
        <w:r w:rsidR="001A7466" w:rsidRPr="00A24EA3">
          <w:rPr>
            <w:rStyle w:val="Hyperlink"/>
          </w:rPr>
          <w:t xml:space="preserve">Utah Code </w:t>
        </w:r>
        <w:bookmarkStart w:id="0" w:name="_GoBack"/>
        <w:bookmarkEnd w:id="0"/>
        <w:r w:rsidR="001A7466" w:rsidRPr="00A24EA3">
          <w:rPr>
            <w:rStyle w:val="Hyperlink"/>
          </w:rPr>
          <w:t>§ 53A-15-1003(3) (201</w:t>
        </w:r>
        <w:r>
          <w:rPr>
            <w:rStyle w:val="Hyperlink"/>
          </w:rPr>
          <w:t>5</w:t>
        </w:r>
        <w:r w:rsidR="001A7466" w:rsidRPr="00A24EA3">
          <w:rPr>
            <w:rStyle w:val="Hyperlink"/>
          </w:rPr>
          <w:t>)</w:t>
        </w:r>
      </w:hyperlink>
    </w:p>
    <w:p w:rsidR="001A7466" w:rsidRPr="0088056A" w:rsidRDefault="001A7466" w:rsidP="001A7466">
      <w:pPr>
        <w:pStyle w:val="PolicySectionHeader"/>
        <w:spacing w:before="0" w:after="120"/>
      </w:pPr>
      <w:r w:rsidRPr="0088056A">
        <w:t>Notice of Credit Requirements</w:t>
      </w:r>
      <w:r w:rsidRPr="008A556F">
        <w:t>—</w:t>
      </w:r>
    </w:p>
    <w:p w:rsidR="001A7466" w:rsidRPr="0088056A" w:rsidRDefault="001A7466" w:rsidP="001A7466">
      <w:pPr>
        <w:spacing w:before="0" w:after="120"/>
      </w:pPr>
      <w:r>
        <w:tab/>
      </w:r>
      <w:r w:rsidRPr="0088056A">
        <w:t>Each school within the District shall provide to the parent(s) or legal guardian(s) of each student enrolling in the school specific and adequate notice of the District’s requirements and limitations for awarding credit, including credits transferred from other schools or education providers and credits awarded from other sources under this policy.</w:t>
      </w:r>
    </w:p>
    <w:p w:rsidR="001A7466" w:rsidRPr="0088056A" w:rsidRDefault="00DB6F6A" w:rsidP="001A7466">
      <w:pPr>
        <w:pStyle w:val="PolicyCitation"/>
        <w:spacing w:after="120"/>
      </w:pPr>
      <w:hyperlink r:id="rId12" w:anchor="T3" w:history="1">
        <w:proofErr w:type="gramStart"/>
        <w:r w:rsidR="001A7466" w:rsidRPr="00A24EA3">
          <w:rPr>
            <w:rStyle w:val="Hyperlink"/>
          </w:rPr>
          <w:t>Utah Admin.</w:t>
        </w:r>
        <w:proofErr w:type="gramEnd"/>
        <w:r w:rsidR="001A7466" w:rsidRPr="00A24EA3">
          <w:rPr>
            <w:rStyle w:val="Hyperlink"/>
          </w:rPr>
          <w:t xml:space="preserve"> Rules R277-705-3A (November 7, 2013)</w:t>
        </w:r>
      </w:hyperlink>
    </w:p>
    <w:p w:rsidR="000C5474" w:rsidRPr="00133498" w:rsidRDefault="000C5474" w:rsidP="00133498">
      <w:pPr>
        <w:spacing w:before="0" w:after="120"/>
        <w:rPr>
          <w:i/>
          <w:sz w:val="20"/>
          <w:szCs w:val="20"/>
        </w:rPr>
      </w:pPr>
    </w:p>
    <w:p w:rsidR="00B24717" w:rsidRPr="00A1582E" w:rsidRDefault="00B24717" w:rsidP="00133498">
      <w:pPr>
        <w:pStyle w:val="PolicyCitation"/>
        <w:spacing w:after="120"/>
        <w:rPr>
          <w:szCs w:val="20"/>
        </w:rPr>
      </w:pPr>
    </w:p>
    <w:sectPr w:rsidR="00B24717" w:rsidRPr="00A1582E" w:rsidSect="009123F7">
      <w:headerReference w:type="default" r:id="rId13"/>
      <w:footerReference w:type="default" r:id="rId14"/>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1A7466">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D67E84">
            <w:rPr>
              <w:rFonts w:cs="Arial"/>
              <w:i/>
              <w:color w:val="808080"/>
              <w:sz w:val="20"/>
              <w:szCs w:val="20"/>
            </w:rPr>
            <w:t>1</w:t>
          </w:r>
          <w:r w:rsidR="00E43EE8">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DB6F6A">
            <w:rPr>
              <w:rFonts w:cs="Arial"/>
              <w:noProof/>
            </w:rPr>
            <w:t>2</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DB6F6A">
            <w:rPr>
              <w:rFonts w:cs="Arial"/>
              <w:noProof/>
            </w:rPr>
            <w:t>2</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p>
        <w:p w:rsidR="001D7FAD" w:rsidRPr="00AA3CB1" w:rsidRDefault="001D7FAD" w:rsidP="001A7466">
          <w:pPr>
            <w:spacing w:before="0"/>
            <w:rPr>
              <w:rFonts w:cs="Arial"/>
              <w:i/>
              <w:noProof/>
              <w:color w:val="808080"/>
              <w:sz w:val="20"/>
              <w:szCs w:val="20"/>
            </w:rPr>
          </w:pPr>
          <w:r w:rsidRPr="00AA3CB1">
            <w:rPr>
              <w:rFonts w:cs="Arial"/>
              <w:i/>
              <w:color w:val="808080"/>
              <w:sz w:val="20"/>
              <w:szCs w:val="20"/>
            </w:rPr>
            <w:t xml:space="preserve">Modified:  </w:t>
          </w:r>
          <w:r w:rsidR="00E43EE8">
            <w:rPr>
              <w:rFonts w:cs="Arial"/>
              <w:i/>
              <w:color w:val="808080"/>
              <w:sz w:val="20"/>
              <w:szCs w:val="20"/>
            </w:rPr>
            <w:t>27 April 2015</w:t>
          </w:r>
        </w:p>
      </w:tc>
      <w:tc>
        <w:tcPr>
          <w:tcW w:w="4608" w:type="dxa"/>
        </w:tcPr>
        <w:p w:rsidR="001D7FAD" w:rsidRPr="001129CD" w:rsidRDefault="00A1582E" w:rsidP="001A7466">
          <w:pPr>
            <w:jc w:val="right"/>
            <w:rPr>
              <w:rFonts w:ascii="Arial Black" w:hAnsi="Arial Black"/>
              <w:caps/>
              <w:sz w:val="48"/>
              <w:szCs w:val="48"/>
            </w:rPr>
          </w:pPr>
          <w:r>
            <w:rPr>
              <w:rFonts w:ascii="Arial Black" w:hAnsi="Arial Black"/>
              <w:caps/>
              <w:sz w:val="48"/>
              <w:szCs w:val="48"/>
            </w:rPr>
            <w:t>E</w:t>
          </w:r>
          <w:r w:rsidR="001A7466">
            <w:rPr>
              <w:rFonts w:ascii="Arial Black" w:hAnsi="Arial Black"/>
              <w:caps/>
              <w:sz w:val="48"/>
              <w:szCs w:val="48"/>
            </w:rPr>
            <w:t>HA</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FB"/>
    <w:multiLevelType w:val="hybridMultilevel"/>
    <w:tmpl w:val="243094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5521BD"/>
    <w:multiLevelType w:val="hybridMultilevel"/>
    <w:tmpl w:val="3E4444E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F2D62C2"/>
    <w:multiLevelType w:val="hybridMultilevel"/>
    <w:tmpl w:val="66B837C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num>
  <w:num w:numId="3">
    <w:abstractNumId w:val="9"/>
  </w:num>
  <w:num w:numId="4">
    <w:abstractNumId w:val="2"/>
  </w:num>
  <w:num w:numId="5">
    <w:abstractNumId w:val="13"/>
  </w:num>
  <w:num w:numId="6">
    <w:abstractNumId w:val="15"/>
  </w:num>
  <w:num w:numId="7">
    <w:abstractNumId w:val="5"/>
  </w:num>
  <w:num w:numId="8">
    <w:abstractNumId w:val="12"/>
  </w:num>
  <w:num w:numId="9">
    <w:abstractNumId w:val="3"/>
  </w:num>
  <w:num w:numId="10">
    <w:abstractNumId w:val="4"/>
  </w:num>
  <w:num w:numId="11">
    <w:abstractNumId w:val="1"/>
  </w:num>
  <w:num w:numId="12">
    <w:abstractNumId w:val="7"/>
  </w:num>
  <w:num w:numId="13">
    <w:abstractNumId w:val="11"/>
  </w:num>
  <w:num w:numId="14">
    <w:abstractNumId w:val="6"/>
  </w:num>
  <w:num w:numId="15">
    <w:abstractNumId w:val="0"/>
  </w:num>
  <w:num w:numId="16">
    <w:abstractNumId w:val="14"/>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37F2"/>
    <w:rsid w:val="000562D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C5474"/>
    <w:rsid w:val="000D185E"/>
    <w:rsid w:val="000D2A8F"/>
    <w:rsid w:val="000E0780"/>
    <w:rsid w:val="000E3D78"/>
    <w:rsid w:val="000E443C"/>
    <w:rsid w:val="000E6FA6"/>
    <w:rsid w:val="000E7639"/>
    <w:rsid w:val="000F027B"/>
    <w:rsid w:val="000F0EFA"/>
    <w:rsid w:val="000F109D"/>
    <w:rsid w:val="000F2E66"/>
    <w:rsid w:val="000F329A"/>
    <w:rsid w:val="00100B5C"/>
    <w:rsid w:val="001022BA"/>
    <w:rsid w:val="001039A9"/>
    <w:rsid w:val="0010718E"/>
    <w:rsid w:val="001071D9"/>
    <w:rsid w:val="001078F4"/>
    <w:rsid w:val="001101D5"/>
    <w:rsid w:val="001107AD"/>
    <w:rsid w:val="00111CFA"/>
    <w:rsid w:val="001129CD"/>
    <w:rsid w:val="00114500"/>
    <w:rsid w:val="001156AC"/>
    <w:rsid w:val="00117875"/>
    <w:rsid w:val="00120059"/>
    <w:rsid w:val="00120EBD"/>
    <w:rsid w:val="00122384"/>
    <w:rsid w:val="00123E8F"/>
    <w:rsid w:val="001249D6"/>
    <w:rsid w:val="00127EDF"/>
    <w:rsid w:val="00133498"/>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A7466"/>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29A7"/>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5BA2"/>
    <w:rsid w:val="006B7839"/>
    <w:rsid w:val="006C0671"/>
    <w:rsid w:val="006C097A"/>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2C29"/>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1582E"/>
    <w:rsid w:val="00A21512"/>
    <w:rsid w:val="00A23121"/>
    <w:rsid w:val="00A23D22"/>
    <w:rsid w:val="00A24EA3"/>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1597"/>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6DB"/>
    <w:rsid w:val="00DB17D2"/>
    <w:rsid w:val="00DB1F63"/>
    <w:rsid w:val="00DB287B"/>
    <w:rsid w:val="00DB30AD"/>
    <w:rsid w:val="00DB6F6A"/>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43EE8"/>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3F3"/>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character" w:styleId="Hyperlink">
    <w:name w:val="Hyperlink"/>
    <w:basedOn w:val="DefaultParagraphFont"/>
    <w:rsid w:val="00A24E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character" w:styleId="Hyperlink">
    <w:name w:val="Hyperlink"/>
    <w:basedOn w:val="DefaultParagraphFont"/>
    <w:rsid w:val="00A24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705.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les.utah.gov/publicat/code/r277/r277-705.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5/53A-15-S1003.html?v=C53A-15-S1003_1800010118000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utah.gov/xcode/Title53A/Chapter13/53A-13-S108.5.html?v=C53A-13-S108.5_1800010118000101" TargetMode="External"/><Relationship Id="rId4" Type="http://schemas.openxmlformats.org/officeDocument/2006/relationships/settings" Target="settings.xml"/><Relationship Id="rId9" Type="http://schemas.openxmlformats.org/officeDocument/2006/relationships/hyperlink" Target="http://www.rules.utah.gov/publicat/code/r277/r277-705.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6</cp:revision>
  <cp:lastPrinted>2009-06-15T18:03:00Z</cp:lastPrinted>
  <dcterms:created xsi:type="dcterms:W3CDTF">2015-04-27T19:07:00Z</dcterms:created>
  <dcterms:modified xsi:type="dcterms:W3CDTF">2015-06-04T22:49:00Z</dcterms:modified>
</cp:coreProperties>
</file>