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1F" w:rsidRDefault="00E56F1F" w:rsidP="00E56F1F">
      <w:pPr>
        <w:pStyle w:val="PolicyTitle"/>
      </w:pPr>
      <w:r>
        <w:t xml:space="preserve">Services for Homeless Students  </w:t>
      </w:r>
    </w:p>
    <w:p w:rsidR="00E56F1F" w:rsidRDefault="00E56F1F" w:rsidP="00E56F1F">
      <w:pPr>
        <w:pStyle w:val="PolicySectionHeader"/>
      </w:pPr>
      <w:r w:rsidRPr="00992E8D">
        <w:fldChar w:fldCharType="begin"/>
      </w:r>
      <w:r w:rsidRPr="00992E8D">
        <w:instrText xml:space="preserve"> SEQ CHAPTER \h \r 1</w:instrText>
      </w:r>
      <w:r w:rsidRPr="00992E8D">
        <w:fldChar w:fldCharType="end"/>
      </w:r>
      <w:r w:rsidRPr="00992E8D">
        <w:t>Definitions</w:t>
      </w:r>
      <w:r>
        <w:t>—</w:t>
      </w:r>
    </w:p>
    <w:p w:rsidR="00E56F1F" w:rsidRDefault="00E56F1F" w:rsidP="00321BCD">
      <w:pPr>
        <w:pStyle w:val="PolicyListNumerical"/>
        <w:spacing w:before="0" w:after="120"/>
        <w:jc w:val="left"/>
      </w:pPr>
      <w:r w:rsidRPr="005A348C">
        <w:fldChar w:fldCharType="begin"/>
      </w:r>
      <w:r w:rsidRPr="005A348C">
        <w:instrText xml:space="preserve"> SEQ CHAPTER \h \r 1</w:instrText>
      </w:r>
      <w:r w:rsidRPr="005A348C">
        <w:fldChar w:fldCharType="end"/>
      </w:r>
      <w:r w:rsidR="00B71E2D">
        <w:t>“Domicile”</w:t>
      </w:r>
      <w:r>
        <w:t xml:space="preserve"> means the place which a person considers to be the permanent home, even though temporarily residing elsewhere.</w:t>
      </w:r>
    </w:p>
    <w:p w:rsidR="00E56F1F" w:rsidRDefault="00B71E2D" w:rsidP="00321BCD">
      <w:pPr>
        <w:pStyle w:val="PolicyListNumerical"/>
        <w:spacing w:before="0" w:after="120"/>
        <w:jc w:val="left"/>
      </w:pPr>
      <w:r>
        <w:t>“Emancipated minor”</w:t>
      </w:r>
      <w:r w:rsidR="00E56F1F">
        <w:t xml:space="preserve"> means:</w:t>
      </w:r>
    </w:p>
    <w:p w:rsidR="00E56F1F" w:rsidRDefault="00E56F1F" w:rsidP="00321BCD">
      <w:pPr>
        <w:pStyle w:val="PolicyListNumerical"/>
        <w:numPr>
          <w:ilvl w:val="1"/>
          <w:numId w:val="11"/>
        </w:numPr>
        <w:spacing w:before="0" w:after="120"/>
        <w:jc w:val="left"/>
      </w:pPr>
      <w:r>
        <w:t xml:space="preserve">a child under the age of 18 who has become emancipated through marriage or by order of a court consistent with </w:t>
      </w:r>
      <w:hyperlink r:id="rId8" w:history="1">
        <w:r w:rsidR="00321BCD">
          <w:rPr>
            <w:rStyle w:val="Hyperlink"/>
          </w:rPr>
          <w:t xml:space="preserve">Utah Code </w:t>
        </w:r>
        <w:r w:rsidR="00321BCD">
          <w:rPr>
            <w:rStyle w:val="Hyperlink"/>
            <w:rFonts w:cs="Arial"/>
          </w:rPr>
          <w:t>§</w:t>
        </w:r>
        <w:r w:rsidRPr="007040B9">
          <w:rPr>
            <w:rStyle w:val="Hyperlink"/>
          </w:rPr>
          <w:t xml:space="preserve"> 78A-6-801 et seq.</w:t>
        </w:r>
      </w:hyperlink>
      <w:r>
        <w:t>; or</w:t>
      </w:r>
    </w:p>
    <w:p w:rsidR="00E56F1F" w:rsidRDefault="00E56F1F" w:rsidP="00321BCD">
      <w:pPr>
        <w:pStyle w:val="PolicyListNumerical"/>
        <w:numPr>
          <w:ilvl w:val="1"/>
          <w:numId w:val="11"/>
        </w:numPr>
        <w:spacing w:before="0" w:after="120"/>
        <w:jc w:val="left"/>
      </w:pPr>
      <w:proofErr w:type="gramStart"/>
      <w:r>
        <w:t>a</w:t>
      </w:r>
      <w:proofErr w:type="gramEnd"/>
      <w:r>
        <w:t xml:space="preserve"> child recommended for school enrollment as an emancipated or independent or homeless child/youth by an authorized representative of the Utah State Department of Social Services.</w:t>
      </w:r>
    </w:p>
    <w:p w:rsidR="00E56F1F" w:rsidRDefault="00B71E2D" w:rsidP="00321BCD">
      <w:pPr>
        <w:pStyle w:val="PolicyListNumerical"/>
        <w:spacing w:before="0" w:after="120"/>
        <w:jc w:val="left"/>
      </w:pPr>
      <w:r>
        <w:t>“Enrolled”</w:t>
      </w:r>
      <w:r w:rsidR="00E56F1F">
        <w:t xml:space="preserve"> for purposes of this rule means a student has the opportunity to attend classes and participate fully in school and extracurricular activities based on academic and citizenship requirements of all students.</w:t>
      </w:r>
    </w:p>
    <w:p w:rsidR="00E56F1F" w:rsidRDefault="00B71E2D" w:rsidP="00321BCD">
      <w:pPr>
        <w:pStyle w:val="PolicyListNumerical"/>
        <w:spacing w:before="0" w:after="120"/>
        <w:jc w:val="left"/>
      </w:pPr>
      <w:r>
        <w:t>“Homeless child/youth”</w:t>
      </w:r>
      <w:r w:rsidR="00E56F1F">
        <w:t xml:space="preserve"> means a child who:</w:t>
      </w:r>
    </w:p>
    <w:p w:rsidR="00E56F1F" w:rsidRDefault="00E56F1F" w:rsidP="00321BCD">
      <w:pPr>
        <w:pStyle w:val="PolicyListNumerical"/>
        <w:numPr>
          <w:ilvl w:val="1"/>
          <w:numId w:val="11"/>
        </w:numPr>
        <w:spacing w:before="0" w:after="120"/>
        <w:jc w:val="left"/>
      </w:pPr>
      <w:r>
        <w:t>lacks a fixed, regular, and adequate nighttime residence;</w:t>
      </w:r>
    </w:p>
    <w:p w:rsidR="00E56F1F" w:rsidRDefault="00E56F1F" w:rsidP="00321BCD">
      <w:pPr>
        <w:pStyle w:val="PolicyListNumerical"/>
        <w:numPr>
          <w:ilvl w:val="1"/>
          <w:numId w:val="11"/>
        </w:numPr>
        <w:spacing w:before="0" w:after="120"/>
        <w:jc w:val="left"/>
      </w:pPr>
      <w:r>
        <w:t>has primary nighttime residence in a homeless shelter, welfare hotel, motel, congregate shelter, domestic violence shelter, car, abandoned building, bus or train station, trailer park, or camping ground;</w:t>
      </w:r>
    </w:p>
    <w:p w:rsidR="00E56F1F" w:rsidRDefault="00E56F1F" w:rsidP="00321BCD">
      <w:pPr>
        <w:pStyle w:val="PolicyListNumerical"/>
        <w:numPr>
          <w:ilvl w:val="1"/>
          <w:numId w:val="11"/>
        </w:numPr>
        <w:spacing w:before="0" w:after="120"/>
        <w:jc w:val="left"/>
      </w:pPr>
      <w:r>
        <w:t>sleeps in a public or private place not ordinarily used as a regular sleeping accommodation for human beings;</w:t>
      </w:r>
    </w:p>
    <w:p w:rsidR="00E56F1F" w:rsidRDefault="00E56F1F" w:rsidP="00321BCD">
      <w:pPr>
        <w:pStyle w:val="PolicyListNumerical"/>
        <w:numPr>
          <w:ilvl w:val="1"/>
          <w:numId w:val="11"/>
        </w:numPr>
        <w:spacing w:before="0" w:after="120"/>
        <w:jc w:val="left"/>
      </w:pPr>
      <w:r>
        <w:t>is, due to loss of housing or economic hardship, or a similar reason, living with relatives or friends usually on a temporary or emergency basis due to lack of housing; or</w:t>
      </w:r>
    </w:p>
    <w:p w:rsidR="00E56F1F" w:rsidRDefault="00E56F1F" w:rsidP="00321BCD">
      <w:pPr>
        <w:pStyle w:val="PolicyListNumerical"/>
        <w:numPr>
          <w:ilvl w:val="1"/>
          <w:numId w:val="11"/>
        </w:numPr>
        <w:spacing w:before="0" w:after="120"/>
        <w:jc w:val="left"/>
      </w:pPr>
      <w:proofErr w:type="gramStart"/>
      <w:r>
        <w:t>is</w:t>
      </w:r>
      <w:proofErr w:type="gramEnd"/>
      <w:r>
        <w:t xml:space="preserve"> a runaway, a child or youth denied housing by his family, or school-age unwed mother living in a home for unwed mothers, who has no other housing available.</w:t>
      </w:r>
    </w:p>
    <w:p w:rsidR="00E56F1F" w:rsidRDefault="00B71E2D" w:rsidP="00321BCD">
      <w:pPr>
        <w:pStyle w:val="PolicyListNumerical"/>
        <w:spacing w:before="0" w:after="120"/>
        <w:jc w:val="left"/>
      </w:pPr>
      <w:r>
        <w:t>“</w:t>
      </w:r>
      <w:r w:rsidR="00E56F1F">
        <w:t>School district of resid</w:t>
      </w:r>
      <w:r>
        <w:t>ence for a homeless child/youth”</w:t>
      </w:r>
      <w:r w:rsidR="00E56F1F">
        <w:t xml:space="preserve"> means the school district in w</w:t>
      </w:r>
      <w:r>
        <w:t>hich the student or the student’</w:t>
      </w:r>
      <w:r w:rsidR="00E56F1F">
        <w:t>s legal guardian or both currently resides or the charter school that the student is attending for the period that the student or student's family satisfies the homeless criteria.</w:t>
      </w:r>
    </w:p>
    <w:p w:rsidR="00E56F1F" w:rsidRPr="00973303" w:rsidRDefault="00973303" w:rsidP="00E56F1F">
      <w:pPr>
        <w:pStyle w:val="PolicyCitation"/>
        <w:spacing w:after="120"/>
        <w:rPr>
          <w:rStyle w:val="Hyperlink"/>
        </w:rPr>
      </w:pPr>
      <w:r>
        <w:fldChar w:fldCharType="begin"/>
      </w:r>
      <w:r>
        <w:instrText xml:space="preserve"> HYPERLINK "http://www.rules.utah.gov/publicat/code/r277/r277-616.htm" \l "T2" </w:instrText>
      </w:r>
      <w:r>
        <w:fldChar w:fldCharType="separate"/>
      </w:r>
      <w:proofErr w:type="gramStart"/>
      <w:r w:rsidR="00E56F1F" w:rsidRPr="00973303">
        <w:rPr>
          <w:rStyle w:val="Hyperlink"/>
        </w:rPr>
        <w:t>Utah Admin.</w:t>
      </w:r>
      <w:proofErr w:type="gramEnd"/>
      <w:r w:rsidR="00E56F1F" w:rsidRPr="00973303">
        <w:rPr>
          <w:rStyle w:val="Hyperlink"/>
        </w:rPr>
        <w:t xml:space="preserve"> Rules R277-616</w:t>
      </w:r>
      <w:r>
        <w:rPr>
          <w:rStyle w:val="Hyperlink"/>
        </w:rPr>
        <w:t>-2</w:t>
      </w:r>
      <w:r w:rsidR="00E56F1F" w:rsidRPr="00973303">
        <w:rPr>
          <w:rStyle w:val="Hyperlink"/>
        </w:rPr>
        <w:t xml:space="preserve"> (</w:t>
      </w:r>
      <w:r>
        <w:rPr>
          <w:rStyle w:val="Hyperlink"/>
        </w:rPr>
        <w:t>November 23, 2015</w:t>
      </w:r>
      <w:r w:rsidR="00E56F1F" w:rsidRPr="00973303">
        <w:rPr>
          <w:rStyle w:val="Hyperlink"/>
        </w:rPr>
        <w:t>)</w:t>
      </w:r>
    </w:p>
    <w:p w:rsidR="00E56F1F" w:rsidRPr="00F2589A" w:rsidRDefault="00973303" w:rsidP="00E56F1F">
      <w:pPr>
        <w:pStyle w:val="PolicySectionHeader"/>
        <w:spacing w:before="0" w:after="120"/>
      </w:pPr>
      <w:r>
        <w:rPr>
          <w:b w:val="0"/>
          <w:i/>
          <w:sz w:val="20"/>
          <w:szCs w:val="16"/>
        </w:rPr>
        <w:fldChar w:fldCharType="end"/>
      </w:r>
      <w:r w:rsidR="00E56F1F" w:rsidRPr="00804DD2">
        <w:fldChar w:fldCharType="begin"/>
      </w:r>
      <w:r w:rsidR="00E56F1F" w:rsidRPr="00804DD2">
        <w:instrText xml:space="preserve"> SEQ CHAPTER \h \r 1</w:instrText>
      </w:r>
      <w:r w:rsidR="00E56F1F" w:rsidRPr="00804DD2">
        <w:fldChar w:fldCharType="end"/>
      </w:r>
      <w:r w:rsidR="00E56F1F" w:rsidRPr="005A348C">
        <w:t>Criteria for Determining Where a Homeless or Emancipated Student Shall Attend School</w:t>
      </w:r>
      <w:r w:rsidR="00E56F1F">
        <w:t>—</w:t>
      </w:r>
    </w:p>
    <w:p w:rsidR="00E56F1F" w:rsidRDefault="00E56F1F" w:rsidP="00321BCD">
      <w:pPr>
        <w:pStyle w:val="PolicyParagraph"/>
        <w:spacing w:before="0" w:after="120"/>
        <w:jc w:val="left"/>
      </w:pPr>
      <w:r w:rsidRPr="00804DD2">
        <w:lastRenderedPageBreak/>
        <w:fldChar w:fldCharType="begin"/>
      </w:r>
      <w:r w:rsidRPr="00804DD2">
        <w:instrText xml:space="preserve"> SEQ CHAPTER \h \r 1</w:instrText>
      </w:r>
      <w:r w:rsidRPr="00804DD2">
        <w:fldChar w:fldCharType="end"/>
      </w:r>
      <w:r>
        <w:t xml:space="preserve">Under the McKinney-Vento Homeless Assistance Act of 1987, Title VII, Subtitle B, as amended, </w:t>
      </w:r>
      <w:hyperlink r:id="rId9" w:history="1">
        <w:r w:rsidRPr="00321BCD">
          <w:rPr>
            <w:rStyle w:val="Hyperlink"/>
          </w:rPr>
          <w:t xml:space="preserve">42 U.S.C. </w:t>
        </w:r>
        <w:r w:rsidR="00321BCD" w:rsidRPr="00321BCD">
          <w:rPr>
            <w:rStyle w:val="Hyperlink"/>
            <w:rFonts w:cs="Arial"/>
          </w:rPr>
          <w:t>§§</w:t>
        </w:r>
        <w:r w:rsidR="00321BCD" w:rsidRPr="00321BCD">
          <w:rPr>
            <w:rStyle w:val="Hyperlink"/>
          </w:rPr>
          <w:t xml:space="preserve"> </w:t>
        </w:r>
        <w:r w:rsidRPr="00321BCD">
          <w:rPr>
            <w:rStyle w:val="Hyperlink"/>
          </w:rPr>
          <w:t>11431 through 11435</w:t>
        </w:r>
      </w:hyperlink>
      <w:r>
        <w:t>, homeless students are entitled to immediate enrollment and full participation even if they are unable to produce records which may include medical records, birth certifica</w:t>
      </w:r>
      <w:r w:rsidR="00B71E2D">
        <w:t>tes, school records, or proof of</w:t>
      </w:r>
      <w:r>
        <w:t xml:space="preserve"> residency normally required for enrollment.</w:t>
      </w:r>
    </w:p>
    <w:p w:rsidR="00E56F1F" w:rsidRDefault="00E56F1F" w:rsidP="00E56F1F">
      <w:pPr>
        <w:pStyle w:val="PolicyParagraph"/>
        <w:spacing w:before="0" w:after="120"/>
      </w:pPr>
      <w:r>
        <w:t>A homeless student shall:</w:t>
      </w:r>
    </w:p>
    <w:p w:rsidR="00E56F1F" w:rsidRDefault="00E56F1F" w:rsidP="00321BCD">
      <w:pPr>
        <w:pStyle w:val="PolicyListNumerical"/>
        <w:numPr>
          <w:ilvl w:val="0"/>
          <w:numId w:val="14"/>
        </w:numPr>
        <w:spacing w:before="0" w:after="120"/>
        <w:jc w:val="left"/>
      </w:pPr>
      <w:r>
        <w:t xml:space="preserve">be immediately enrolled even if the student does not have documentation required under </w:t>
      </w:r>
      <w:hyperlink r:id="rId10" w:history="1">
        <w:r w:rsidR="00321BCD">
          <w:rPr>
            <w:rStyle w:val="Hyperlink"/>
          </w:rPr>
          <w:t>Utah Code s</w:t>
        </w:r>
        <w:r w:rsidRPr="007040B9">
          <w:rPr>
            <w:rStyle w:val="Hyperlink"/>
          </w:rPr>
          <w:t>ections 53A-11-201</w:t>
        </w:r>
      </w:hyperlink>
      <w:r>
        <w:t xml:space="preserve">, </w:t>
      </w:r>
      <w:hyperlink r:id="rId11" w:history="1">
        <w:r w:rsidRPr="007040B9">
          <w:rPr>
            <w:rStyle w:val="Hyperlink"/>
          </w:rPr>
          <w:t>301</w:t>
        </w:r>
      </w:hyperlink>
      <w:r>
        <w:t xml:space="preserve">, </w:t>
      </w:r>
      <w:hyperlink r:id="rId12" w:history="1">
        <w:r w:rsidRPr="007040B9">
          <w:rPr>
            <w:rStyle w:val="Hyperlink"/>
          </w:rPr>
          <w:t>302</w:t>
        </w:r>
      </w:hyperlink>
      <w:r>
        <w:t xml:space="preserve">, </w:t>
      </w:r>
      <w:hyperlink r:id="rId13" w:history="1">
        <w:r w:rsidRPr="007040B9">
          <w:rPr>
            <w:rStyle w:val="Hyperlink"/>
          </w:rPr>
          <w:t>302.5</w:t>
        </w:r>
      </w:hyperlink>
      <w:r>
        <w:t xml:space="preserve"> and </w:t>
      </w:r>
      <w:hyperlink r:id="rId14" w:history="1">
        <w:r w:rsidR="00321BCD">
          <w:rPr>
            <w:rStyle w:val="Hyperlink"/>
          </w:rPr>
          <w:t>Utah Code s</w:t>
        </w:r>
        <w:r w:rsidRPr="007040B9">
          <w:rPr>
            <w:rStyle w:val="Hyperlink"/>
          </w:rPr>
          <w:t>ection 53A-2-201 through 213</w:t>
        </w:r>
      </w:hyperlink>
      <w:r>
        <w:t>;</w:t>
      </w:r>
    </w:p>
    <w:p w:rsidR="00E56F1F" w:rsidRDefault="00E56F1F" w:rsidP="00321BCD">
      <w:pPr>
        <w:pStyle w:val="PolicyListNumerical"/>
        <w:numPr>
          <w:ilvl w:val="0"/>
          <w:numId w:val="14"/>
        </w:numPr>
        <w:spacing w:before="0" w:after="120"/>
        <w:jc w:val="left"/>
      </w:pPr>
      <w:r>
        <w:t>be allowed to continue to attend his school of origin, to the extent feasible, unless it</w:t>
      </w:r>
      <w:r w:rsidR="00B71E2D">
        <w:t xml:space="preserve"> is against the parent/guardian’</w:t>
      </w:r>
      <w:r>
        <w:t>s wishes; be per</w:t>
      </w:r>
      <w:r w:rsidR="00B71E2D">
        <w:t>mitted to remain in the student’</w:t>
      </w:r>
      <w:r>
        <w:t>s school of origin for the duration of the homelessness and until the end of any academic year in which the student moves into permanent housing; or</w:t>
      </w:r>
    </w:p>
    <w:p w:rsidR="00E56F1F" w:rsidRDefault="00E56F1F" w:rsidP="00321BCD">
      <w:pPr>
        <w:pStyle w:val="PolicyListNumerical"/>
        <w:numPr>
          <w:ilvl w:val="0"/>
          <w:numId w:val="14"/>
        </w:numPr>
        <w:spacing w:before="0" w:after="120"/>
        <w:jc w:val="left"/>
      </w:pPr>
      <w:proofErr w:type="gramStart"/>
      <w:r>
        <w:t>transfer</w:t>
      </w:r>
      <w:proofErr w:type="gramEnd"/>
      <w:r>
        <w:t xml:space="preserve"> to the school district of residence or charter school if space is available as defined under </w:t>
      </w:r>
      <w:hyperlink r:id="rId15" w:anchor="T1" w:history="1">
        <w:r w:rsidR="00321BCD">
          <w:rPr>
            <w:rStyle w:val="Hyperlink"/>
          </w:rPr>
          <w:t xml:space="preserve">Utah Admin. Rules </w:t>
        </w:r>
        <w:r w:rsidRPr="007040B9">
          <w:rPr>
            <w:rStyle w:val="Hyperlink"/>
          </w:rPr>
          <w:t>R277-616-1I</w:t>
        </w:r>
      </w:hyperlink>
      <w:r>
        <w:t>.</w:t>
      </w:r>
    </w:p>
    <w:p w:rsidR="00E56F1F" w:rsidRDefault="00E56F1F" w:rsidP="00321BCD">
      <w:pPr>
        <w:pStyle w:val="PolicyParagraph"/>
        <w:spacing w:before="0" w:after="120"/>
        <w:jc w:val="left"/>
      </w:pPr>
      <w:r>
        <w:t>Determination of residence or domicile may include consideration of the following criteria:</w:t>
      </w:r>
    </w:p>
    <w:p w:rsidR="00E56F1F" w:rsidRDefault="00E56F1F" w:rsidP="00B71E2D">
      <w:pPr>
        <w:pStyle w:val="PolicyListNumerical"/>
        <w:numPr>
          <w:ilvl w:val="0"/>
          <w:numId w:val="39"/>
        </w:numPr>
        <w:spacing w:before="0" w:after="120"/>
        <w:jc w:val="left"/>
      </w:pPr>
      <w:r>
        <w:t>the place, however temporary, where the child actually sleeps;</w:t>
      </w:r>
    </w:p>
    <w:p w:rsidR="00E56F1F" w:rsidRDefault="00E56F1F" w:rsidP="00321BCD">
      <w:pPr>
        <w:pStyle w:val="PolicyListNumerical"/>
        <w:numPr>
          <w:ilvl w:val="0"/>
          <w:numId w:val="14"/>
        </w:numPr>
        <w:spacing w:before="0" w:after="120"/>
        <w:jc w:val="left"/>
      </w:pPr>
      <w:r>
        <w:t>the place where an emancipated minor or an unaccompanied c</w:t>
      </w:r>
      <w:r w:rsidR="00B71E2D">
        <w:t>hild/youth or accompanied child’s/youth’</w:t>
      </w:r>
      <w:r>
        <w:t>s family keeps its belongings;</w:t>
      </w:r>
    </w:p>
    <w:p w:rsidR="00E56F1F" w:rsidRDefault="00E56F1F" w:rsidP="00321BCD">
      <w:pPr>
        <w:pStyle w:val="PolicyListNumerical"/>
        <w:numPr>
          <w:ilvl w:val="0"/>
          <w:numId w:val="14"/>
        </w:numPr>
        <w:spacing w:before="0" w:after="120"/>
        <w:jc w:val="left"/>
      </w:pPr>
      <w:r>
        <w:t>the place which an emancipated minor or an unaccompanied child/youth or accompanied child's/youth's parent considers to be home; or</w:t>
      </w:r>
    </w:p>
    <w:p w:rsidR="00E56F1F" w:rsidRDefault="00E56F1F" w:rsidP="00321BCD">
      <w:pPr>
        <w:pStyle w:val="PolicyListNumerical"/>
        <w:numPr>
          <w:ilvl w:val="0"/>
          <w:numId w:val="14"/>
        </w:numPr>
        <w:spacing w:before="0" w:after="120"/>
        <w:jc w:val="left"/>
      </w:pPr>
      <w:proofErr w:type="gramStart"/>
      <w:r>
        <w:t>such</w:t>
      </w:r>
      <w:proofErr w:type="gramEnd"/>
      <w:r>
        <w:t xml:space="preserve"> rec</w:t>
      </w:r>
      <w:r w:rsidR="00B71E2D">
        <w:t>ommendations concerning a child’</w:t>
      </w:r>
      <w:r>
        <w:t>s domicile as made by the State Department of Human Services.</w:t>
      </w:r>
    </w:p>
    <w:p w:rsidR="00E56F1F" w:rsidRDefault="00E56F1F" w:rsidP="00321BCD">
      <w:pPr>
        <w:pStyle w:val="PolicyParagraph"/>
        <w:spacing w:before="0" w:after="120"/>
        <w:jc w:val="left"/>
      </w:pPr>
      <w:r>
        <w:t>Determination of residence or domicile may not be based upon:</w:t>
      </w:r>
    </w:p>
    <w:p w:rsidR="00E56F1F" w:rsidRDefault="00E56F1F" w:rsidP="00B71E2D">
      <w:pPr>
        <w:pStyle w:val="PolicyListNumerical"/>
        <w:numPr>
          <w:ilvl w:val="0"/>
          <w:numId w:val="40"/>
        </w:numPr>
        <w:spacing w:before="0" w:after="120"/>
        <w:jc w:val="left"/>
      </w:pPr>
      <w:r>
        <w:t>rent or lease receipts for an apartment or home;</w:t>
      </w:r>
    </w:p>
    <w:p w:rsidR="00E56F1F" w:rsidRDefault="00E56F1F" w:rsidP="00321BCD">
      <w:pPr>
        <w:pStyle w:val="PolicyListNumerical"/>
        <w:numPr>
          <w:ilvl w:val="0"/>
          <w:numId w:val="14"/>
        </w:numPr>
        <w:spacing w:before="0" w:after="120"/>
        <w:jc w:val="left"/>
      </w:pPr>
      <w:r>
        <w:t>the existence or absence of a permanent address; or</w:t>
      </w:r>
    </w:p>
    <w:p w:rsidR="00E56F1F" w:rsidRDefault="00E56F1F" w:rsidP="00321BCD">
      <w:pPr>
        <w:pStyle w:val="PolicyListNumerical"/>
        <w:numPr>
          <w:ilvl w:val="0"/>
          <w:numId w:val="14"/>
        </w:numPr>
        <w:spacing w:before="0" w:after="120"/>
        <w:jc w:val="left"/>
      </w:pPr>
      <w:proofErr w:type="gramStart"/>
      <w:r>
        <w:t>a</w:t>
      </w:r>
      <w:proofErr w:type="gramEnd"/>
      <w:r>
        <w:t xml:space="preserve"> required length of residence in a given location.</w:t>
      </w:r>
    </w:p>
    <w:p w:rsidR="00E56F1F" w:rsidRDefault="00E56F1F" w:rsidP="00321BCD">
      <w:pPr>
        <w:pStyle w:val="PolicyParagraph"/>
        <w:spacing w:before="0" w:after="120"/>
        <w:jc w:val="left"/>
      </w:pPr>
      <w:r>
        <w:t xml:space="preserve">If there is a dispute as to residence or the status of an emancipated minor or an unaccompanied child/youth, the issue may be referred to the </w:t>
      </w:r>
      <w:r w:rsidR="00973303">
        <w:t>State Superintendent</w:t>
      </w:r>
      <w:r>
        <w:t xml:space="preserve"> for resolution.</w:t>
      </w:r>
    </w:p>
    <w:p w:rsidR="00E56F1F" w:rsidRDefault="00E56F1F" w:rsidP="00321BCD">
      <w:pPr>
        <w:pStyle w:val="PolicyParagraph"/>
        <w:spacing w:before="0" w:after="120"/>
        <w:jc w:val="left"/>
      </w:pPr>
      <w:r>
        <w:t>The purpose of federal homeless education legisl</w:t>
      </w:r>
      <w:r w:rsidR="00B71E2D">
        <w:t>ation is to ensure that a child’</w:t>
      </w:r>
      <w:r>
        <w:t>s education is not needlessly disrupted becau</w:t>
      </w:r>
      <w:r w:rsidR="00B71E2D">
        <w:t>se of homelessness.  If a child’</w:t>
      </w:r>
      <w:r>
        <w:t>s residence or eligibility is in question, the child shall be admitted to school until the issue is resolved.</w:t>
      </w:r>
    </w:p>
    <w:p w:rsidR="00E56F1F" w:rsidRDefault="00B71E2D" w:rsidP="00E56F1F">
      <w:pPr>
        <w:pStyle w:val="PolicyCitation"/>
        <w:spacing w:after="120"/>
      </w:pPr>
      <w:hyperlink r:id="rId16" w:anchor="T3" w:history="1">
        <w:proofErr w:type="gramStart"/>
        <w:r w:rsidR="00E56F1F" w:rsidRPr="007040B9">
          <w:rPr>
            <w:rStyle w:val="Hyperlink"/>
          </w:rPr>
          <w:t>Utah Admin.</w:t>
        </w:r>
        <w:proofErr w:type="gramEnd"/>
        <w:r w:rsidR="00E56F1F" w:rsidRPr="007040B9">
          <w:rPr>
            <w:rStyle w:val="Hyperlink"/>
          </w:rPr>
          <w:t xml:space="preserve"> Rules R277-616-3 (</w:t>
        </w:r>
        <w:r w:rsidR="00973303">
          <w:rPr>
            <w:rStyle w:val="Hyperlink"/>
          </w:rPr>
          <w:t>November 23, 2015</w:t>
        </w:r>
        <w:r w:rsidR="00E56F1F" w:rsidRPr="007040B9">
          <w:rPr>
            <w:rStyle w:val="Hyperlink"/>
          </w:rPr>
          <w:t>)</w:t>
        </w:r>
      </w:hyperlink>
    </w:p>
    <w:p w:rsidR="00E56F1F" w:rsidRPr="00F2589A" w:rsidRDefault="00E56F1F" w:rsidP="00E56F1F">
      <w:pPr>
        <w:pStyle w:val="PolicySectionHeader"/>
        <w:spacing w:before="0" w:after="120"/>
      </w:pPr>
      <w:r w:rsidRPr="00804DD2">
        <w:lastRenderedPageBreak/>
        <w:fldChar w:fldCharType="begin"/>
      </w:r>
      <w:r w:rsidRPr="00804DD2">
        <w:instrText xml:space="preserve"> SEQ CHAPTER \h \r 1</w:instrText>
      </w:r>
      <w:r w:rsidRPr="00804DD2">
        <w:fldChar w:fldCharType="end"/>
      </w:r>
      <w:r w:rsidRPr="00C34DEB">
        <w:fldChar w:fldCharType="begin"/>
      </w:r>
      <w:r w:rsidRPr="00C34DEB">
        <w:instrText xml:space="preserve"> SEQ CHAPTER \h \r 1</w:instrText>
      </w:r>
      <w:r w:rsidRPr="00C34DEB">
        <w:fldChar w:fldCharType="end"/>
      </w:r>
      <w:r>
        <w:t>Transfer of Guardianship—</w:t>
      </w:r>
    </w:p>
    <w:p w:rsidR="00E56F1F" w:rsidRDefault="00E56F1F" w:rsidP="00321BCD">
      <w:pPr>
        <w:pStyle w:val="PolicyParagraph"/>
        <w:spacing w:before="0" w:after="120"/>
        <w:jc w:val="left"/>
      </w:pPr>
      <w:r>
        <w:t xml:space="preserve">If guardianship of a minor child is awarded to a resident of a school district by action of a court or through appointment by a school district under </w:t>
      </w:r>
      <w:hyperlink r:id="rId17" w:history="1">
        <w:r w:rsidR="00321BCD" w:rsidRPr="00321BCD">
          <w:rPr>
            <w:rStyle w:val="Hyperlink"/>
          </w:rPr>
          <w:t xml:space="preserve">Utah Code </w:t>
        </w:r>
        <w:r w:rsidR="00321BCD" w:rsidRPr="00321BCD">
          <w:rPr>
            <w:rStyle w:val="Hyperlink"/>
            <w:rFonts w:cs="Arial"/>
          </w:rPr>
          <w:t>§</w:t>
        </w:r>
        <w:r w:rsidRPr="00321BCD">
          <w:rPr>
            <w:rStyle w:val="Hyperlink"/>
          </w:rPr>
          <w:t xml:space="preserve"> 53A-2-202</w:t>
        </w:r>
      </w:hyperlink>
      <w:r>
        <w:t>, the child becomes a resident of the school district in which the guardian resides.</w:t>
      </w:r>
    </w:p>
    <w:p w:rsidR="00E56F1F" w:rsidRDefault="00B71E2D" w:rsidP="00321BCD">
      <w:pPr>
        <w:pStyle w:val="PolicyParagraph"/>
        <w:spacing w:before="0" w:after="120"/>
        <w:jc w:val="left"/>
      </w:pPr>
      <w:r>
        <w:rPr>
          <w:szCs w:val="24"/>
        </w:rPr>
        <w:t>If a child’</w:t>
      </w:r>
      <w:bookmarkStart w:id="0" w:name="_GoBack"/>
      <w:bookmarkEnd w:id="0"/>
      <w:r w:rsidR="00E56F1F">
        <w:rPr>
          <w:szCs w:val="24"/>
        </w:rPr>
        <w:t>s residence has been established by transfer of legal guardianship, no tuition may be charged by the new school district of residence.</w:t>
      </w:r>
    </w:p>
    <w:p w:rsidR="00E56F1F" w:rsidRPr="00804DD2" w:rsidRDefault="00B71E2D" w:rsidP="00E56F1F">
      <w:pPr>
        <w:pStyle w:val="PolicyCitation"/>
        <w:spacing w:after="120"/>
      </w:pPr>
      <w:hyperlink r:id="rId18" w:anchor="T4" w:history="1">
        <w:proofErr w:type="gramStart"/>
        <w:r w:rsidR="00E56F1F" w:rsidRPr="007040B9">
          <w:rPr>
            <w:rStyle w:val="Hyperlink"/>
          </w:rPr>
          <w:t>Utah Admin.</w:t>
        </w:r>
        <w:proofErr w:type="gramEnd"/>
        <w:r w:rsidR="00E56F1F" w:rsidRPr="007040B9">
          <w:rPr>
            <w:rStyle w:val="Hyperlink"/>
          </w:rPr>
          <w:t xml:space="preserve"> Rules R277-616-4 (</w:t>
        </w:r>
        <w:r w:rsidR="00973303">
          <w:rPr>
            <w:rStyle w:val="Hyperlink"/>
          </w:rPr>
          <w:t>November 23, 2015</w:t>
        </w:r>
        <w:r w:rsidR="00E56F1F" w:rsidRPr="007040B9">
          <w:rPr>
            <w:rStyle w:val="Hyperlink"/>
          </w:rPr>
          <w:t>)</w:t>
        </w:r>
      </w:hyperlink>
    </w:p>
    <w:p w:rsidR="00A44EF1" w:rsidRPr="00FE7A5A" w:rsidRDefault="00A44EF1" w:rsidP="00FE7A5A"/>
    <w:sectPr w:rsidR="00A44EF1" w:rsidRPr="00FE7A5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144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36" w:rsidRDefault="00175836">
      <w:r>
        <w:separator/>
      </w:r>
    </w:p>
  </w:endnote>
  <w:endnote w:type="continuationSeparator" w:id="0">
    <w:p w:rsidR="00175836" w:rsidRDefault="0017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04" w:rsidRDefault="00C41104">
    <w:pPr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308"/>
      <w:gridCol w:w="1908"/>
    </w:tblGrid>
    <w:tr w:rsidR="00C41104">
      <w:tc>
        <w:tcPr>
          <w:tcW w:w="7308" w:type="dxa"/>
        </w:tcPr>
        <w:p w:rsidR="00FE7A5A" w:rsidRDefault="00E56F1F" w:rsidP="00FE7A5A">
          <w:pPr>
            <w:pStyle w:val="PolicyHeaderandFooter"/>
          </w:pPr>
          <w:r w:rsidRPr="002E345F">
            <w:t>© 20</w:t>
          </w:r>
          <w:r>
            <w:t>1</w:t>
          </w:r>
          <w:r w:rsidR="00973303">
            <w:t>6</w:t>
          </w:r>
          <w:r w:rsidRPr="002E345F">
            <w:t xml:space="preserve"> ~ All Rights Reserved</w:t>
          </w:r>
          <w:r w:rsidRPr="002E345F">
            <w:br/>
            <w:t>Utah School Boards Association Policy Service</w:t>
          </w:r>
        </w:p>
      </w:tc>
      <w:tc>
        <w:tcPr>
          <w:tcW w:w="1908" w:type="dxa"/>
          <w:vAlign w:val="center"/>
        </w:tcPr>
        <w:p w:rsidR="00C41104" w:rsidRDefault="00C41104">
          <w:pPr>
            <w:pStyle w:val="PolicyHeaderand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71E2D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 NUMPAGES ">
            <w:r w:rsidR="00B71E2D">
              <w:rPr>
                <w:noProof/>
              </w:rPr>
              <w:t>3</w:t>
            </w:r>
          </w:fldSimple>
        </w:p>
      </w:tc>
    </w:tr>
  </w:tbl>
  <w:p w:rsidR="00C41104" w:rsidRDefault="00C4110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04" w:rsidRDefault="00C41104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36" w:rsidRDefault="00175836">
      <w:r>
        <w:separator/>
      </w:r>
    </w:p>
  </w:footnote>
  <w:footnote w:type="continuationSeparator" w:id="0">
    <w:p w:rsidR="00175836" w:rsidRDefault="00175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04" w:rsidRDefault="00C41104">
    <w:pPr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8"/>
      <w:gridCol w:w="4608"/>
    </w:tblGrid>
    <w:tr w:rsidR="00C41104">
      <w:tc>
        <w:tcPr>
          <w:tcW w:w="4608" w:type="dxa"/>
        </w:tcPr>
        <w:p w:rsidR="00E56F1F" w:rsidRPr="00AA3CB1" w:rsidRDefault="00E56F1F" w:rsidP="00E56F1F">
          <w:pPr>
            <w:pStyle w:val="PolicyHeaderandFooter"/>
            <w:rPr>
              <w:noProof/>
            </w:rPr>
          </w:pPr>
          <w:r w:rsidRPr="00AA3CB1">
            <w:t xml:space="preserve">Created:  </w:t>
          </w:r>
          <w:r>
            <w:fldChar w:fldCharType="begin"/>
          </w:r>
          <w:r>
            <w:instrText xml:space="preserve"> CREATEDATE  \@ "d MMMM yyyy"  \* MERGEFORMAT </w:instrText>
          </w:r>
          <w:r>
            <w:fldChar w:fldCharType="separate"/>
          </w:r>
          <w:r>
            <w:rPr>
              <w:noProof/>
            </w:rPr>
            <w:t>15 July 2008</w:t>
          </w:r>
          <w:r>
            <w:rPr>
              <w:noProof/>
            </w:rPr>
            <w:fldChar w:fldCharType="end"/>
          </w:r>
        </w:p>
        <w:p w:rsidR="00C41104" w:rsidRDefault="00E56F1F" w:rsidP="00973303">
          <w:pPr>
            <w:pStyle w:val="PolicyHeaderandFooter"/>
            <w:rPr>
              <w:noProof/>
            </w:rPr>
          </w:pPr>
          <w:r w:rsidRPr="00AA3CB1">
            <w:t xml:space="preserve">Modified:  </w:t>
          </w:r>
          <w:r w:rsidR="00973303">
            <w:rPr>
              <w:noProof/>
            </w:rPr>
            <w:t>7 July 2016</w:t>
          </w:r>
        </w:p>
      </w:tc>
      <w:tc>
        <w:tcPr>
          <w:tcW w:w="4608" w:type="dxa"/>
        </w:tcPr>
        <w:p w:rsidR="00C41104" w:rsidRDefault="00E56F1F" w:rsidP="00FE7A5A">
          <w:pPr>
            <w:pStyle w:val="PolicyCode"/>
          </w:pPr>
          <w:r>
            <w:t>FAC</w:t>
          </w:r>
        </w:p>
      </w:tc>
    </w:tr>
  </w:tbl>
  <w:p w:rsidR="00C41104" w:rsidRDefault="00C411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04" w:rsidRDefault="00C41104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6263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2A826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DA4F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FE6B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6CC7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1801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CC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12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66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35E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8C025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63852C3"/>
    <w:multiLevelType w:val="multilevel"/>
    <w:tmpl w:val="29F4B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B36563E"/>
    <w:multiLevelType w:val="multilevel"/>
    <w:tmpl w:val="29F4B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D8717FF"/>
    <w:multiLevelType w:val="multilevel"/>
    <w:tmpl w:val="29F4B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9BD6113"/>
    <w:multiLevelType w:val="hybridMultilevel"/>
    <w:tmpl w:val="7AA238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C2F38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1E4453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303401C"/>
    <w:multiLevelType w:val="hybridMultilevel"/>
    <w:tmpl w:val="CD62E5EE"/>
    <w:lvl w:ilvl="0" w:tplc="C1E063CE">
      <w:start w:val="1"/>
      <w:numFmt w:val="decimal"/>
      <w:pStyle w:val="PolicyListNumeric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39C28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A0F07EC"/>
    <w:multiLevelType w:val="hybridMultilevel"/>
    <w:tmpl w:val="0628990C"/>
    <w:lvl w:ilvl="0" w:tplc="DDA23740">
      <w:start w:val="1"/>
      <w:numFmt w:val="bullet"/>
      <w:pStyle w:val="PolicyListBullete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F74497E"/>
    <w:multiLevelType w:val="multilevel"/>
    <w:tmpl w:val="29F4B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20"/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9"/>
  </w:num>
  <w:num w:numId="22">
    <w:abstractNumId w:val="16"/>
  </w:num>
  <w:num w:numId="23">
    <w:abstractNumId w:val="11"/>
  </w:num>
  <w:num w:numId="24">
    <w:abstractNumId w:val="17"/>
  </w:num>
  <w:num w:numId="25">
    <w:abstractNumId w:val="10"/>
  </w:num>
  <w:num w:numId="26">
    <w:abstractNumId w:val="12"/>
  </w:num>
  <w:num w:numId="27">
    <w:abstractNumId w:val="13"/>
  </w:num>
  <w:num w:numId="28">
    <w:abstractNumId w:val="14"/>
  </w:num>
  <w:num w:numId="29">
    <w:abstractNumId w:val="21"/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8F"/>
    <w:rsid w:val="000B59C7"/>
    <w:rsid w:val="00175836"/>
    <w:rsid w:val="00312CE5"/>
    <w:rsid w:val="00321BCD"/>
    <w:rsid w:val="0032445F"/>
    <w:rsid w:val="003912D6"/>
    <w:rsid w:val="00401B70"/>
    <w:rsid w:val="005755D7"/>
    <w:rsid w:val="005A518F"/>
    <w:rsid w:val="00615A90"/>
    <w:rsid w:val="007040B9"/>
    <w:rsid w:val="0081703A"/>
    <w:rsid w:val="00973303"/>
    <w:rsid w:val="00A07C11"/>
    <w:rsid w:val="00A44EF1"/>
    <w:rsid w:val="00B71E2D"/>
    <w:rsid w:val="00C41104"/>
    <w:rsid w:val="00D53B87"/>
    <w:rsid w:val="00DA7DB0"/>
    <w:rsid w:val="00E4339A"/>
    <w:rsid w:val="00E56F1F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locked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locked/>
    <w:pPr>
      <w:keepNext/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locked/>
    <w:pPr>
      <w:keepNext/>
      <w:spacing w:before="240" w:after="6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locked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autoRedefine/>
    <w:locked/>
    <w:pPr>
      <w:spacing w:before="0"/>
      <w:ind w:left="1008"/>
    </w:pPr>
    <w:rPr>
      <w:i/>
      <w:sz w:val="20"/>
      <w:szCs w:val="16"/>
    </w:rPr>
  </w:style>
  <w:style w:type="character" w:customStyle="1" w:styleId="CharChar">
    <w:name w:val="Char Char"/>
    <w:rPr>
      <w:rFonts w:ascii="Arial" w:hAnsi="Arial"/>
      <w:i/>
      <w:szCs w:val="16"/>
    </w:rPr>
  </w:style>
  <w:style w:type="paragraph" w:customStyle="1" w:styleId="PolicyBlockQuote">
    <w:name w:val="Policy Block Quote"/>
    <w:basedOn w:val="Normal"/>
    <w:pPr>
      <w:spacing w:after="120"/>
      <w:ind w:left="1440" w:right="1440"/>
      <w:jc w:val="both"/>
    </w:pPr>
    <w:rPr>
      <w:i/>
    </w:rPr>
  </w:style>
  <w:style w:type="paragraph" w:customStyle="1" w:styleId="PolicyTitle">
    <w:name w:val="Policy Title"/>
    <w:basedOn w:val="Heading1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pPr>
      <w:spacing w:before="0"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pPr>
      <w:ind w:firstLine="720"/>
      <w:jc w:val="both"/>
    </w:pPr>
    <w:rPr>
      <w:szCs w:val="20"/>
    </w:rPr>
  </w:style>
  <w:style w:type="paragraph" w:customStyle="1" w:styleId="PolicyCode">
    <w:name w:val="Policy Code"/>
    <w:basedOn w:val="Normal"/>
    <w:qFormat/>
    <w:pPr>
      <w:jc w:val="right"/>
    </w:pPr>
    <w:rPr>
      <w:rFonts w:ascii="Arial Black" w:hAnsi="Arial Black"/>
      <w:caps/>
      <w:sz w:val="48"/>
      <w:szCs w:val="48"/>
    </w:rPr>
  </w:style>
  <w:style w:type="paragraph" w:customStyle="1" w:styleId="PolicySectionHeader">
    <w:name w:val="Policy Section Header"/>
    <w:basedOn w:val="Normal"/>
    <w:qFormat/>
    <w:rPr>
      <w:b/>
    </w:rPr>
  </w:style>
  <w:style w:type="paragraph" w:customStyle="1" w:styleId="PolicyCitation">
    <w:name w:val="Policy Citation"/>
    <w:basedOn w:val="BodyTextIndent3"/>
    <w:qFormat/>
  </w:style>
  <w:style w:type="paragraph" w:customStyle="1" w:styleId="PolicyListNumerical">
    <w:name w:val="Policy List Numerical"/>
    <w:basedOn w:val="Normal"/>
    <w:qFormat/>
    <w:pPr>
      <w:numPr>
        <w:numId w:val="11"/>
      </w:numPr>
      <w:spacing w:after="240"/>
      <w:jc w:val="both"/>
    </w:pPr>
  </w:style>
  <w:style w:type="paragraph" w:customStyle="1" w:styleId="PolicyListBulleted">
    <w:name w:val="Policy List Bulleted"/>
    <w:basedOn w:val="Normal"/>
    <w:qFormat/>
    <w:pPr>
      <w:numPr>
        <w:numId w:val="13"/>
      </w:numPr>
      <w:spacing w:after="240"/>
      <w:jc w:val="both"/>
    </w:pPr>
  </w:style>
  <w:style w:type="paragraph" w:customStyle="1" w:styleId="PolicyHeaderandFooter">
    <w:name w:val="Policy Header and Footer"/>
    <w:basedOn w:val="Normal"/>
    <w:qFormat/>
    <w:pPr>
      <w:spacing w:before="0"/>
    </w:pPr>
    <w:rPr>
      <w:rFonts w:cs="Arial"/>
      <w:i/>
      <w:color w:val="808080"/>
      <w:sz w:val="20"/>
      <w:szCs w:val="20"/>
    </w:rPr>
  </w:style>
  <w:style w:type="paragraph" w:styleId="BalloonText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styleId="List">
    <w:name w:val="List"/>
    <w:basedOn w:val="Normal"/>
    <w:locked/>
    <w:pPr>
      <w:ind w:left="360" w:hanging="360"/>
    </w:pPr>
  </w:style>
  <w:style w:type="paragraph" w:styleId="Title">
    <w:name w:val="Title"/>
    <w:aliases w:val="Paragraph"/>
    <w:basedOn w:val="Normal"/>
    <w:link w:val="TitleChar"/>
    <w:qFormat/>
    <w:locked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aliases w:val="Paragraph Char"/>
    <w:link w:val="Title"/>
    <w:locked/>
    <w:rsid w:val="00FE7A5A"/>
    <w:rPr>
      <w:rFonts w:ascii="Arial" w:hAnsi="Arial" w:cs="Arial"/>
      <w:b/>
      <w:bCs/>
      <w:kern w:val="28"/>
      <w:sz w:val="32"/>
      <w:szCs w:val="32"/>
    </w:rPr>
  </w:style>
  <w:style w:type="character" w:customStyle="1" w:styleId="HeaderChar">
    <w:name w:val="Header Char"/>
    <w:link w:val="Header"/>
    <w:rsid w:val="00FE7A5A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7040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733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locked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locked/>
    <w:pPr>
      <w:keepNext/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locked/>
    <w:pPr>
      <w:keepNext/>
      <w:spacing w:before="240" w:after="6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locked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autoRedefine/>
    <w:locked/>
    <w:pPr>
      <w:spacing w:before="0"/>
      <w:ind w:left="1008"/>
    </w:pPr>
    <w:rPr>
      <w:i/>
      <w:sz w:val="20"/>
      <w:szCs w:val="16"/>
    </w:rPr>
  </w:style>
  <w:style w:type="character" w:customStyle="1" w:styleId="CharChar">
    <w:name w:val="Char Char"/>
    <w:rPr>
      <w:rFonts w:ascii="Arial" w:hAnsi="Arial"/>
      <w:i/>
      <w:szCs w:val="16"/>
    </w:rPr>
  </w:style>
  <w:style w:type="paragraph" w:customStyle="1" w:styleId="PolicyBlockQuote">
    <w:name w:val="Policy Block Quote"/>
    <w:basedOn w:val="Normal"/>
    <w:pPr>
      <w:spacing w:after="120"/>
      <w:ind w:left="1440" w:right="1440"/>
      <w:jc w:val="both"/>
    </w:pPr>
    <w:rPr>
      <w:i/>
    </w:rPr>
  </w:style>
  <w:style w:type="paragraph" w:customStyle="1" w:styleId="PolicyTitle">
    <w:name w:val="Policy Title"/>
    <w:basedOn w:val="Heading1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pPr>
      <w:spacing w:before="0"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pPr>
      <w:ind w:firstLine="720"/>
      <w:jc w:val="both"/>
    </w:pPr>
    <w:rPr>
      <w:szCs w:val="20"/>
    </w:rPr>
  </w:style>
  <w:style w:type="paragraph" w:customStyle="1" w:styleId="PolicyCode">
    <w:name w:val="Policy Code"/>
    <w:basedOn w:val="Normal"/>
    <w:qFormat/>
    <w:pPr>
      <w:jc w:val="right"/>
    </w:pPr>
    <w:rPr>
      <w:rFonts w:ascii="Arial Black" w:hAnsi="Arial Black"/>
      <w:caps/>
      <w:sz w:val="48"/>
      <w:szCs w:val="48"/>
    </w:rPr>
  </w:style>
  <w:style w:type="paragraph" w:customStyle="1" w:styleId="PolicySectionHeader">
    <w:name w:val="Policy Section Header"/>
    <w:basedOn w:val="Normal"/>
    <w:qFormat/>
    <w:rPr>
      <w:b/>
    </w:rPr>
  </w:style>
  <w:style w:type="paragraph" w:customStyle="1" w:styleId="PolicyCitation">
    <w:name w:val="Policy Citation"/>
    <w:basedOn w:val="BodyTextIndent3"/>
    <w:qFormat/>
  </w:style>
  <w:style w:type="paragraph" w:customStyle="1" w:styleId="PolicyListNumerical">
    <w:name w:val="Policy List Numerical"/>
    <w:basedOn w:val="Normal"/>
    <w:qFormat/>
    <w:pPr>
      <w:numPr>
        <w:numId w:val="11"/>
      </w:numPr>
      <w:spacing w:after="240"/>
      <w:jc w:val="both"/>
    </w:pPr>
  </w:style>
  <w:style w:type="paragraph" w:customStyle="1" w:styleId="PolicyListBulleted">
    <w:name w:val="Policy List Bulleted"/>
    <w:basedOn w:val="Normal"/>
    <w:qFormat/>
    <w:pPr>
      <w:numPr>
        <w:numId w:val="13"/>
      </w:numPr>
      <w:spacing w:after="240"/>
      <w:jc w:val="both"/>
    </w:pPr>
  </w:style>
  <w:style w:type="paragraph" w:customStyle="1" w:styleId="PolicyHeaderandFooter">
    <w:name w:val="Policy Header and Footer"/>
    <w:basedOn w:val="Normal"/>
    <w:qFormat/>
    <w:pPr>
      <w:spacing w:before="0"/>
    </w:pPr>
    <w:rPr>
      <w:rFonts w:cs="Arial"/>
      <w:i/>
      <w:color w:val="808080"/>
      <w:sz w:val="20"/>
      <w:szCs w:val="20"/>
    </w:rPr>
  </w:style>
  <w:style w:type="paragraph" w:styleId="BalloonText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styleId="List">
    <w:name w:val="List"/>
    <w:basedOn w:val="Normal"/>
    <w:locked/>
    <w:pPr>
      <w:ind w:left="360" w:hanging="360"/>
    </w:pPr>
  </w:style>
  <w:style w:type="paragraph" w:styleId="Title">
    <w:name w:val="Title"/>
    <w:aliases w:val="Paragraph"/>
    <w:basedOn w:val="Normal"/>
    <w:link w:val="TitleChar"/>
    <w:qFormat/>
    <w:locked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aliases w:val="Paragraph Char"/>
    <w:link w:val="Title"/>
    <w:locked/>
    <w:rsid w:val="00FE7A5A"/>
    <w:rPr>
      <w:rFonts w:ascii="Arial" w:hAnsi="Arial" w:cs="Arial"/>
      <w:b/>
      <w:bCs/>
      <w:kern w:val="28"/>
      <w:sz w:val="32"/>
      <w:szCs w:val="32"/>
    </w:rPr>
  </w:style>
  <w:style w:type="character" w:customStyle="1" w:styleId="HeaderChar">
    <w:name w:val="Header Char"/>
    <w:link w:val="Header"/>
    <w:rsid w:val="00FE7A5A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7040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7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xcode/Title78A/Chapter6/78A-6-S801.html?v=C78A-6-S801_1800010118000101" TargetMode="External"/><Relationship Id="rId13" Type="http://schemas.openxmlformats.org/officeDocument/2006/relationships/hyperlink" Target="http://le.utah.gov/xcode/Title53A/Chapter11/53A-11-S302.5.html?v=C53A-11-S302.5_1800010118000101" TargetMode="External"/><Relationship Id="rId18" Type="http://schemas.openxmlformats.org/officeDocument/2006/relationships/hyperlink" Target="http://www.rules.utah.gov/publicat/code/r277/r277-616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e.utah.gov/xcode/Title53A/Chapter11/53A-11-S302.html?v=C53A-11-S302_1800010118000101" TargetMode="External"/><Relationship Id="rId17" Type="http://schemas.openxmlformats.org/officeDocument/2006/relationships/hyperlink" Target="http://le.utah.gov/xcode/Title53A/Chapter2/53A-2-S202.html?v=C53A-2-S202_18000101180001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les.utah.gov/publicat/code/r277/r277-616.ht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.utah.gov/xcode/Title53A/Chapter11/53A-11-S301.html?v=C53A-11-S301_180001011800010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rules.utah.gov/publicat/code/r277/r277-616.ht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le.utah.gov/xcode/Title53A/Chapter11/53A-11-S201.html?v=C53A-11-S201_180001011800010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po.gov/fdsys/pkg/USCODE-2013-title42/pdf/USCODE-2013-title42-chap119-subchapVI.pdf" TargetMode="External"/><Relationship Id="rId14" Type="http://schemas.openxmlformats.org/officeDocument/2006/relationships/hyperlink" Target="http://le.utah.gov/xcode/Title53A/Chapter2/53A-2-P2.html?v=C53A-2-P2_1800010118000101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_USBA\Services\Policy%20Service\Master%20Policy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 Policy Format</Template>
  <TotalTime>12</TotalTime>
  <Pages>3</Pages>
  <Words>749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School Boards Association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 Tanner</dc:creator>
  <cp:lastModifiedBy>Patrick L Tanner</cp:lastModifiedBy>
  <cp:revision>5</cp:revision>
  <cp:lastPrinted>2013-05-09T21:08:00Z</cp:lastPrinted>
  <dcterms:created xsi:type="dcterms:W3CDTF">2016-07-07T14:22:00Z</dcterms:created>
  <dcterms:modified xsi:type="dcterms:W3CDTF">2016-07-11T16:26:00Z</dcterms:modified>
</cp:coreProperties>
</file>