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F0C9" w14:textId="77777777" w:rsidR="00643E72" w:rsidRPr="00AD516D" w:rsidRDefault="00643E72">
      <w:pPr>
        <w:rPr>
          <w:b/>
          <w:sz w:val="28"/>
          <w:szCs w:val="28"/>
        </w:rPr>
      </w:pPr>
      <w:r w:rsidRPr="00AD516D">
        <w:rPr>
          <w:b/>
          <w:sz w:val="28"/>
          <w:szCs w:val="28"/>
        </w:rPr>
        <w:t>Fundamental Obligations and Commitments</w:t>
      </w:r>
    </w:p>
    <w:p w14:paraId="3B270F15" w14:textId="77777777" w:rsidR="00643E72" w:rsidRPr="00AD516D" w:rsidRDefault="00643E72" w:rsidP="00957C3B">
      <w:r w:rsidRPr="00AD516D">
        <w:t>We acknowledge and appreciate the legislature’s commitment to annually:</w:t>
      </w:r>
    </w:p>
    <w:p w14:paraId="647A7E15" w14:textId="77777777" w:rsidR="00643E72" w:rsidRPr="00AD516D" w:rsidRDefault="00643E72" w:rsidP="007E0BCF">
      <w:pPr>
        <w:pStyle w:val="ListParagraph"/>
        <w:numPr>
          <w:ilvl w:val="0"/>
          <w:numId w:val="1"/>
        </w:numPr>
      </w:pPr>
      <w:r w:rsidRPr="00AD516D">
        <w:t>Place enrollment growth in the base budget</w:t>
      </w:r>
    </w:p>
    <w:p w14:paraId="4A43DA39" w14:textId="77777777" w:rsidR="00643E72" w:rsidRPr="00AD516D" w:rsidRDefault="00643E72" w:rsidP="007E0BCF">
      <w:pPr>
        <w:pStyle w:val="ListParagraph"/>
        <w:numPr>
          <w:ilvl w:val="0"/>
          <w:numId w:val="1"/>
        </w:numPr>
      </w:pPr>
      <w:r w:rsidRPr="00AD516D">
        <w:t>Fund an inflationary factor</w:t>
      </w:r>
    </w:p>
    <w:p w14:paraId="28179A72" w14:textId="77777777" w:rsidR="00643E72" w:rsidRPr="00AD516D" w:rsidRDefault="00643E72" w:rsidP="007E0BCF">
      <w:pPr>
        <w:pStyle w:val="ListParagraph"/>
        <w:numPr>
          <w:ilvl w:val="0"/>
          <w:numId w:val="1"/>
        </w:numPr>
      </w:pPr>
      <w:r w:rsidRPr="00AD516D">
        <w:t>Establish and fund a working rainy</w:t>
      </w:r>
      <w:r w:rsidR="00957C3B" w:rsidRPr="00AD516D">
        <w:t>-</w:t>
      </w:r>
      <w:r w:rsidRPr="00AD516D">
        <w:t>day fund</w:t>
      </w:r>
      <w:r w:rsidR="0092206E" w:rsidRPr="00AD516D">
        <w:t xml:space="preserve"> as part of the Uniform School Fund</w:t>
      </w:r>
    </w:p>
    <w:p w14:paraId="2C8CC3CF" w14:textId="77777777" w:rsidR="007E0BCF" w:rsidRPr="00AD516D" w:rsidRDefault="007E0BCF" w:rsidP="007E0BCF">
      <w:pPr>
        <w:rPr>
          <w:b/>
          <w:sz w:val="28"/>
          <w:szCs w:val="28"/>
        </w:rPr>
      </w:pPr>
    </w:p>
    <w:p w14:paraId="2F409F1D" w14:textId="77777777" w:rsidR="007E0BCF" w:rsidRPr="00AD516D" w:rsidRDefault="007E0BCF" w:rsidP="007E0BCF">
      <w:pPr>
        <w:rPr>
          <w:b/>
          <w:sz w:val="28"/>
          <w:szCs w:val="28"/>
        </w:rPr>
      </w:pPr>
      <w:r w:rsidRPr="00AD516D">
        <w:rPr>
          <w:b/>
          <w:sz w:val="28"/>
          <w:szCs w:val="28"/>
        </w:rPr>
        <w:t>From Ongoing Current Education Fund Revenues</w:t>
      </w:r>
    </w:p>
    <w:p w14:paraId="5D24D6E0" w14:textId="77777777" w:rsidR="007E0BCF" w:rsidRPr="00AD516D" w:rsidRDefault="0072015D" w:rsidP="007E0BCF">
      <w:pPr>
        <w:pStyle w:val="ListParagraph"/>
        <w:numPr>
          <w:ilvl w:val="0"/>
          <w:numId w:val="2"/>
        </w:numPr>
      </w:pPr>
      <w:r w:rsidRPr="00AD516D">
        <w:t>4</w:t>
      </w:r>
      <w:r w:rsidR="007E0BCF" w:rsidRPr="00AD516D">
        <w:t>% WPU increase to attract, develop</w:t>
      </w:r>
      <w:r w:rsidRPr="00AD516D">
        <w:t>,</w:t>
      </w:r>
      <w:r w:rsidR="007E0BCF" w:rsidRPr="00AD516D">
        <w:t xml:space="preserve"> and retain quality educators</w:t>
      </w:r>
      <w:r w:rsidR="008540D4" w:rsidRPr="00AD516D">
        <w:t xml:space="preserve"> and support staff</w:t>
      </w:r>
      <w:r w:rsidR="007E0BCF" w:rsidRPr="00AD516D">
        <w:t xml:space="preserve">; </w:t>
      </w:r>
      <w:r w:rsidRPr="00AD516D">
        <w:t xml:space="preserve">meet the ever-increasing demands on the education system; </w:t>
      </w:r>
      <w:r w:rsidR="007E0BCF" w:rsidRPr="00AD516D">
        <w:t>and to support ongoing local improvement initiatives.</w:t>
      </w:r>
    </w:p>
    <w:p w14:paraId="69544A2E" w14:textId="77777777" w:rsidR="007E0BCF" w:rsidRPr="00AD516D" w:rsidRDefault="007E0BCF" w:rsidP="007E0BCF">
      <w:pPr>
        <w:pStyle w:val="ListParagraph"/>
        <w:numPr>
          <w:ilvl w:val="0"/>
          <w:numId w:val="2"/>
        </w:numPr>
      </w:pPr>
      <w:r w:rsidRPr="00AD516D">
        <w:t>We also support legislation (HB 5011) that restores intended WPU increases that were removed during the interim special sessions through the budget balancing process.</w:t>
      </w:r>
    </w:p>
    <w:p w14:paraId="61AEBBBF" w14:textId="77777777" w:rsidR="007E0BCF" w:rsidRPr="00AD516D" w:rsidRDefault="008540D4" w:rsidP="007E0BCF">
      <w:pPr>
        <w:pStyle w:val="ListParagraph"/>
        <w:numPr>
          <w:ilvl w:val="0"/>
          <w:numId w:val="2"/>
        </w:numPr>
      </w:pPr>
      <w:r w:rsidRPr="00AD516D">
        <w:t>$5 million/year, as part of a 5-year plan, to attain 85% state support for to and from transportation costs as provided in statute.</w:t>
      </w:r>
    </w:p>
    <w:p w14:paraId="076583F4" w14:textId="77777777" w:rsidR="008540D4" w:rsidRPr="00AD516D" w:rsidRDefault="008540D4" w:rsidP="007E0BCF">
      <w:pPr>
        <w:pStyle w:val="ListParagraph"/>
        <w:numPr>
          <w:ilvl w:val="0"/>
          <w:numId w:val="2"/>
        </w:numPr>
      </w:pPr>
      <w:r w:rsidRPr="00AD516D">
        <w:t>$500,000/year, as part of a 5-year plan to increase Necessarily Existent Small Schools (NESS) funding to provide greater equity in educational opportunity.</w:t>
      </w:r>
    </w:p>
    <w:p w14:paraId="5C83DAE4" w14:textId="77777777" w:rsidR="0092206E" w:rsidRPr="00AD516D" w:rsidRDefault="0092206E" w:rsidP="0092206E"/>
    <w:p w14:paraId="49713FF5" w14:textId="77777777" w:rsidR="007E0BCF" w:rsidRPr="00AD516D" w:rsidRDefault="007E0BCF" w:rsidP="007E0BCF">
      <w:pPr>
        <w:rPr>
          <w:b/>
          <w:sz w:val="28"/>
          <w:szCs w:val="28"/>
        </w:rPr>
      </w:pPr>
      <w:r w:rsidRPr="00AD516D">
        <w:rPr>
          <w:b/>
          <w:sz w:val="28"/>
          <w:szCs w:val="28"/>
        </w:rPr>
        <w:t>From One-Time Revenues</w:t>
      </w:r>
    </w:p>
    <w:p w14:paraId="18AF7FC2" w14:textId="77777777" w:rsidR="00841BE8" w:rsidRPr="00AD516D" w:rsidRDefault="00841BE8" w:rsidP="0092206E">
      <w:pPr>
        <w:pStyle w:val="ListParagraph"/>
        <w:numPr>
          <w:ilvl w:val="0"/>
          <w:numId w:val="2"/>
        </w:numPr>
      </w:pPr>
      <w:r w:rsidRPr="00AD516D">
        <w:t>Allocate $40 million in one-time funds for COVID-driven expenses related to health and safety regulations, technology infrastructure and support, and technology innovations required to improve student safety and learning.</w:t>
      </w:r>
    </w:p>
    <w:p w14:paraId="1FC50294" w14:textId="77777777" w:rsidR="00841BE8" w:rsidRPr="00AD516D" w:rsidRDefault="00841BE8" w:rsidP="00841BE8">
      <w:pPr>
        <w:pStyle w:val="ListParagraph"/>
        <w:numPr>
          <w:ilvl w:val="0"/>
          <w:numId w:val="2"/>
        </w:numPr>
      </w:pPr>
      <w:r w:rsidRPr="00AD516D">
        <w:t>Allocate $30 million in one-time funds for school building security upgrades.</w:t>
      </w:r>
    </w:p>
    <w:p w14:paraId="6400BE15" w14:textId="77777777" w:rsidR="0072015D" w:rsidRPr="00AD516D" w:rsidRDefault="0072015D" w:rsidP="0072015D">
      <w:pPr>
        <w:pStyle w:val="ListParagraph"/>
      </w:pPr>
    </w:p>
    <w:p w14:paraId="0B890F10" w14:textId="77777777" w:rsidR="007E0BCF" w:rsidRPr="00AD516D" w:rsidRDefault="007E0BCF" w:rsidP="007E0BCF">
      <w:pPr>
        <w:rPr>
          <w:b/>
          <w:sz w:val="28"/>
          <w:szCs w:val="28"/>
        </w:rPr>
      </w:pPr>
      <w:r w:rsidRPr="00AD516D">
        <w:rPr>
          <w:b/>
          <w:sz w:val="28"/>
          <w:szCs w:val="28"/>
        </w:rPr>
        <w:t>Enact Policy Requests</w:t>
      </w:r>
    </w:p>
    <w:p w14:paraId="24138DB7" w14:textId="77777777" w:rsidR="007E0BCF" w:rsidRPr="00AD516D" w:rsidRDefault="00312871" w:rsidP="007E0BCF">
      <w:pPr>
        <w:pStyle w:val="ListParagraph"/>
        <w:numPr>
          <w:ilvl w:val="0"/>
          <w:numId w:val="2"/>
        </w:numPr>
      </w:pPr>
      <w:r w:rsidRPr="00AD516D">
        <w:t>We support the USBE Accountability dashboard for the purposes of school accountability</w:t>
      </w:r>
      <w:r w:rsidR="00921187" w:rsidRPr="00AD516D">
        <w:t>.  We are prepared and willing to work cooperatively with legislators to repeal</w:t>
      </w:r>
      <w:r w:rsidRPr="00AD516D">
        <w:t xml:space="preserve"> </w:t>
      </w:r>
      <w:r w:rsidR="00C20450" w:rsidRPr="00AD516D">
        <w:t xml:space="preserve">school grading </w:t>
      </w:r>
      <w:r w:rsidRPr="00AD516D">
        <w:t>legislation.</w:t>
      </w:r>
    </w:p>
    <w:p w14:paraId="1D30621A" w14:textId="77777777" w:rsidR="005253BF" w:rsidRPr="00AD516D" w:rsidRDefault="005253BF" w:rsidP="007E0BCF">
      <w:pPr>
        <w:pStyle w:val="ListParagraph"/>
        <w:numPr>
          <w:ilvl w:val="0"/>
          <w:numId w:val="2"/>
        </w:numPr>
      </w:pPr>
      <w:r w:rsidRPr="00AD516D">
        <w:t>We support the Utah Constitution that designates income tax as a dedicated revenue source to fund public education.</w:t>
      </w:r>
    </w:p>
    <w:p w14:paraId="643030E5" w14:textId="77777777" w:rsidR="00872B96" w:rsidRPr="00AD516D" w:rsidRDefault="00C20450" w:rsidP="00872B96">
      <w:pPr>
        <w:pStyle w:val="ListParagraph"/>
        <w:numPr>
          <w:ilvl w:val="0"/>
          <w:numId w:val="2"/>
        </w:numPr>
      </w:pPr>
      <w:r w:rsidRPr="00AD516D">
        <w:t>We support the principles outlined in SJR9 and HB357 from the 2020 Legislative General Session.</w:t>
      </w:r>
    </w:p>
    <w:p w14:paraId="27D0BCE6" w14:textId="77777777" w:rsidR="00921187" w:rsidRPr="00AD516D" w:rsidRDefault="00872B96" w:rsidP="007E0BCF">
      <w:pPr>
        <w:pStyle w:val="ListParagraph"/>
        <w:numPr>
          <w:ilvl w:val="0"/>
          <w:numId w:val="2"/>
        </w:numPr>
      </w:pPr>
      <w:r w:rsidRPr="00AD516D">
        <w:t>We support r</w:t>
      </w:r>
      <w:r w:rsidR="00921187" w:rsidRPr="00AD516D">
        <w:t>estor</w:t>
      </w:r>
      <w:r w:rsidRPr="00AD516D">
        <w:t>ing</w:t>
      </w:r>
      <w:r w:rsidR="00921187" w:rsidRPr="00AD516D">
        <w:t xml:space="preserve"> the ability for local taxing entities to impose impact fees on behalf of public schools.</w:t>
      </w:r>
    </w:p>
    <w:p w14:paraId="0DEB9920" w14:textId="1CE5E279" w:rsidR="00921187" w:rsidRDefault="00872B96" w:rsidP="007E0BCF">
      <w:pPr>
        <w:pStyle w:val="ListParagraph"/>
        <w:numPr>
          <w:ilvl w:val="0"/>
          <w:numId w:val="2"/>
        </w:numPr>
      </w:pPr>
      <w:r w:rsidRPr="00AD516D">
        <w:t>We support m</w:t>
      </w:r>
      <w:r w:rsidR="00921187" w:rsidRPr="00AD516D">
        <w:t>odify</w:t>
      </w:r>
      <w:r w:rsidRPr="00AD516D">
        <w:t>ing</w:t>
      </w:r>
      <w:r w:rsidR="00921187" w:rsidRPr="00AD516D">
        <w:t xml:space="preserve"> the calculation of the certified tax rate to include an automatic inflation adjustment.</w:t>
      </w:r>
    </w:p>
    <w:p w14:paraId="3A2E0E87" w14:textId="64FBD486" w:rsidR="001631B2" w:rsidRPr="00D476E1" w:rsidRDefault="001631B2" w:rsidP="007E0BCF">
      <w:pPr>
        <w:pStyle w:val="ListParagraph"/>
        <w:numPr>
          <w:ilvl w:val="0"/>
          <w:numId w:val="2"/>
        </w:numPr>
        <w:rPr>
          <w:color w:val="0070C0"/>
        </w:rPr>
      </w:pPr>
      <w:r w:rsidRPr="00D476E1">
        <w:rPr>
          <w:color w:val="0070C0"/>
        </w:rPr>
        <w:t>We oppose any efforts to move public education funds to private interests through the use of vouchers, tax credits and/or other means.</w:t>
      </w:r>
      <w:r w:rsidR="00D476E1" w:rsidRPr="00D476E1">
        <w:rPr>
          <w:color w:val="0070C0"/>
        </w:rPr>
        <w:t xml:space="preserve">  (USBA Board of Directors approved this statement unanimously on August 14, 2020)</w:t>
      </w:r>
    </w:p>
    <w:p w14:paraId="225E24BD" w14:textId="77777777" w:rsidR="00872B96" w:rsidRPr="00AD516D" w:rsidRDefault="00872B96" w:rsidP="0092206E"/>
    <w:p w14:paraId="10B41E69" w14:textId="77777777" w:rsidR="00C20450" w:rsidRPr="00AD516D" w:rsidRDefault="00C20450" w:rsidP="0092206E">
      <w:pPr>
        <w:rPr>
          <w:b/>
          <w:sz w:val="28"/>
          <w:szCs w:val="28"/>
        </w:rPr>
      </w:pPr>
      <w:r w:rsidRPr="00AD516D">
        <w:rPr>
          <w:b/>
          <w:sz w:val="28"/>
          <w:szCs w:val="28"/>
        </w:rPr>
        <w:lastRenderedPageBreak/>
        <w:t xml:space="preserve">Consider the impact of </w:t>
      </w:r>
      <w:r w:rsidR="00872B96" w:rsidRPr="00AD516D">
        <w:rPr>
          <w:b/>
          <w:sz w:val="28"/>
          <w:szCs w:val="28"/>
        </w:rPr>
        <w:t xml:space="preserve">a large </w:t>
      </w:r>
      <w:r w:rsidRPr="00AD516D">
        <w:rPr>
          <w:b/>
          <w:sz w:val="28"/>
          <w:szCs w:val="28"/>
        </w:rPr>
        <w:t>number of education bills and resulting rules that create fiscal and administrative burdens for every district</w:t>
      </w:r>
    </w:p>
    <w:sectPr w:rsidR="00C20450" w:rsidRPr="00AD516D" w:rsidSect="00872B96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1BBF"/>
    <w:multiLevelType w:val="hybridMultilevel"/>
    <w:tmpl w:val="33A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A25"/>
    <w:multiLevelType w:val="hybridMultilevel"/>
    <w:tmpl w:val="1CA2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1631B2"/>
    <w:rsid w:val="00312871"/>
    <w:rsid w:val="005253BF"/>
    <w:rsid w:val="00643E72"/>
    <w:rsid w:val="0072015D"/>
    <w:rsid w:val="007E0BCF"/>
    <w:rsid w:val="00841BE8"/>
    <w:rsid w:val="008540D4"/>
    <w:rsid w:val="00872B96"/>
    <w:rsid w:val="00921187"/>
    <w:rsid w:val="0092206E"/>
    <w:rsid w:val="00957C3B"/>
    <w:rsid w:val="00A908A2"/>
    <w:rsid w:val="00AD516D"/>
    <w:rsid w:val="00AE097E"/>
    <w:rsid w:val="00C20450"/>
    <w:rsid w:val="00D476E1"/>
    <w:rsid w:val="00D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7D20"/>
  <w15:chartTrackingRefBased/>
  <w15:docId w15:val="{BE54870C-CB3A-454D-943C-F413170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Nielsen</dc:creator>
  <cp:keywords/>
  <dc:description/>
  <cp:lastModifiedBy>Richard Stowell</cp:lastModifiedBy>
  <cp:revision>2</cp:revision>
  <dcterms:created xsi:type="dcterms:W3CDTF">2020-08-17T17:01:00Z</dcterms:created>
  <dcterms:modified xsi:type="dcterms:W3CDTF">2020-08-17T17:01:00Z</dcterms:modified>
</cp:coreProperties>
</file>